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B67" w:rsidRPr="008E3952" w:rsidRDefault="003F3B67" w:rsidP="003F3B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b/>
          <w:sz w:val="24"/>
          <w:szCs w:val="24"/>
          <w:lang w:val="ru-RU"/>
        </w:rPr>
        <w:t>ИНФОРМАЦИЯ</w:t>
      </w:r>
    </w:p>
    <w:p w:rsidR="003F3B67" w:rsidRPr="008E3952" w:rsidRDefault="003F3B67" w:rsidP="003F3B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 продаже муниципального имущества </w:t>
      </w:r>
    </w:p>
    <w:p w:rsidR="003F3B67" w:rsidRPr="008E3952" w:rsidRDefault="003F3B67" w:rsidP="003F3B6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3F3B67" w:rsidRPr="008E3952" w:rsidRDefault="003F3B67" w:rsidP="003F3B67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>Администрация сельского поселения «Зеленец» извещает о намерении реализовать в течении 2024 года следующие объекты муниципального имущества:</w:t>
      </w:r>
    </w:p>
    <w:p w:rsidR="003F3B67" w:rsidRPr="008E3952" w:rsidRDefault="003F3B67" w:rsidP="003F3B67">
      <w:pPr>
        <w:snapToGrid w:val="0"/>
        <w:spacing w:after="0" w:line="240" w:lineRule="auto"/>
        <w:ind w:firstLine="426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</w:pPr>
      <w:r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1</w:t>
      </w:r>
      <w:r w:rsidRPr="008E3952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) земельный участок (площадь 1 112 кв. м; категория земель: земли населенных пунктов; вид разрешенного использования: для индивидуального жилищного строительства; кадастровый номер 11:04:1701002:49, расположенный</w:t>
      </w:r>
      <w:bookmarkStart w:id="0" w:name="_GoBack"/>
      <w:bookmarkEnd w:id="0"/>
      <w:r w:rsidRPr="008E3952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 xml:space="preserve"> по адресу: Российская Федерация, Республика Коми, </w:t>
      </w:r>
      <w:proofErr w:type="spellStart"/>
      <w:r w:rsidRPr="008E3952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>Сыктывдинский</w:t>
      </w:r>
      <w:proofErr w:type="spellEnd"/>
      <w:r w:rsidRPr="008E3952">
        <w:rPr>
          <w:rFonts w:ascii="Times New Roman" w:eastAsia="Arial Unicode MS" w:hAnsi="Times New Roman" w:cs="Times New Roman"/>
          <w:kern w:val="1"/>
          <w:sz w:val="24"/>
          <w:szCs w:val="24"/>
          <w:lang w:val="ru-RU" w:eastAsia="ar-SA"/>
        </w:rPr>
        <w:t xml:space="preserve"> муниципальный район, сельское поселение «Зеленец», с. Зеленец, ул. Родниковая, 24). </w:t>
      </w:r>
    </w:p>
    <w:p w:rsidR="003F3B67" w:rsidRPr="008E3952" w:rsidRDefault="003F3B67" w:rsidP="00EB17E9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Ориентировочная стоимость земельного участка по результатам независимой оценки 2023 г. – </w:t>
      </w:r>
      <w:r w:rsidRPr="008E395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230 000,0 руб. </w:t>
      </w:r>
      <w:r w:rsidRPr="008E3952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(без учета НДС).</w:t>
      </w:r>
    </w:p>
    <w:p w:rsidR="003F3B67" w:rsidRPr="008E3952" w:rsidRDefault="003F3B67" w:rsidP="003F3B67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Передача земельного участка в аренду не рассматривается. </w:t>
      </w:r>
    </w:p>
    <w:p w:rsidR="00631716" w:rsidRDefault="00631716">
      <w:pPr>
        <w:rPr>
          <w:lang w:val="ru-RU"/>
        </w:rPr>
      </w:pPr>
    </w:p>
    <w:p w:rsidR="00EB17E9" w:rsidRPr="008E3952" w:rsidRDefault="00EB17E9" w:rsidP="00EB17E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6"/>
          <w:szCs w:val="26"/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AD698B7" wp14:editId="05AD7E19">
            <wp:extent cx="6242560" cy="2693505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/>
                    <a:srcRect r="19601" b="38338"/>
                    <a:stretch/>
                  </pic:blipFill>
                  <pic:spPr bwMode="auto">
                    <a:xfrm>
                      <a:off x="0" y="0"/>
                      <a:ext cx="6261540" cy="270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17E9" w:rsidRDefault="00EB17E9" w:rsidP="00EB17E9">
      <w:pPr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EB17E9" w:rsidRPr="008E3952" w:rsidRDefault="00EB17E9" w:rsidP="00EB17E9">
      <w:pPr>
        <w:spacing w:after="0" w:line="240" w:lineRule="auto"/>
        <w:ind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Параметры разрешенного строительства объекта: 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>Согласно Правил землепользования и застройки сельского поселения «Зеленец», утвержденных решением Совета МО МР «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Сыктывдинский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» от 28.06.2018 № 29/6-6, земельный участок с кадастровым номером 11:04:1701002:49 относится к территориальной зоне Ж-1 – зона индивидуальных жилых домов с приусадебными участками. </w:t>
      </w:r>
    </w:p>
    <w:p w:rsidR="00EB17E9" w:rsidRDefault="00EB17E9" w:rsidP="00EB17E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17E9" w:rsidRPr="008E3952" w:rsidRDefault="00EB17E9" w:rsidP="00EB17E9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Предельные параметры разрешенного строительства, реконструкции капитального строительства: </w:t>
      </w:r>
    </w:p>
    <w:tbl>
      <w:tblPr>
        <w:tblStyle w:val="a4"/>
        <w:tblW w:w="9564" w:type="dxa"/>
        <w:tblInd w:w="0" w:type="dxa"/>
        <w:tblLook w:val="04A0" w:firstRow="1" w:lastRow="0" w:firstColumn="1" w:lastColumn="0" w:noHBand="0" w:noVBand="1"/>
      </w:tblPr>
      <w:tblGrid>
        <w:gridCol w:w="6941"/>
        <w:gridCol w:w="1292"/>
        <w:gridCol w:w="1331"/>
      </w:tblGrid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proofErr w:type="spellStart"/>
            <w:r w:rsidRPr="00EB17E9">
              <w:rPr>
                <w:sz w:val="24"/>
                <w:szCs w:val="24"/>
              </w:rPr>
              <w:t>Наименование</w:t>
            </w:r>
            <w:proofErr w:type="spellEnd"/>
            <w:r w:rsidRPr="00EB17E9">
              <w:rPr>
                <w:sz w:val="24"/>
                <w:szCs w:val="24"/>
              </w:rPr>
              <w:t xml:space="preserve"> </w:t>
            </w:r>
            <w:proofErr w:type="spellStart"/>
            <w:r w:rsidRPr="00EB17E9">
              <w:rPr>
                <w:sz w:val="24"/>
                <w:szCs w:val="24"/>
              </w:rPr>
              <w:t>показателя</w:t>
            </w:r>
            <w:proofErr w:type="spellEnd"/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proofErr w:type="spellStart"/>
            <w:r w:rsidRPr="00EB17E9">
              <w:rPr>
                <w:sz w:val="24"/>
                <w:szCs w:val="24"/>
              </w:rPr>
              <w:t>Единица</w:t>
            </w:r>
            <w:proofErr w:type="spellEnd"/>
            <w:r w:rsidRPr="00EB17E9">
              <w:rPr>
                <w:sz w:val="24"/>
                <w:szCs w:val="24"/>
              </w:rPr>
              <w:t xml:space="preserve"> </w:t>
            </w:r>
            <w:proofErr w:type="spellStart"/>
            <w:r w:rsidRPr="00EB17E9">
              <w:rPr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proofErr w:type="spellStart"/>
            <w:r w:rsidRPr="00EB17E9">
              <w:rPr>
                <w:sz w:val="24"/>
                <w:szCs w:val="24"/>
              </w:rPr>
              <w:t>Величина</w:t>
            </w:r>
            <w:proofErr w:type="spellEnd"/>
            <w:r w:rsidRPr="00EB17E9">
              <w:rPr>
                <w:sz w:val="24"/>
                <w:szCs w:val="24"/>
              </w:rPr>
              <w:t xml:space="preserve"> </w:t>
            </w:r>
            <w:proofErr w:type="spellStart"/>
            <w:r w:rsidRPr="00EB17E9">
              <w:rPr>
                <w:sz w:val="24"/>
                <w:szCs w:val="24"/>
              </w:rPr>
              <w:t>показателя</w:t>
            </w:r>
            <w:proofErr w:type="spellEnd"/>
          </w:p>
        </w:tc>
      </w:tr>
      <w:tr w:rsidR="00EB17E9" w:rsidRPr="00EB17E9" w:rsidTr="00CB6C3D">
        <w:tc>
          <w:tcPr>
            <w:tcW w:w="9564" w:type="dxa"/>
            <w:gridSpan w:val="3"/>
          </w:tcPr>
          <w:p w:rsidR="00EB17E9" w:rsidRPr="00EB17E9" w:rsidRDefault="00EB17E9" w:rsidP="00CB6C3D">
            <w:pPr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>Минимальные отступы от границ земельного участка в целях определения мест допустимого размещения зданий, строений, сооружений: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ind w:left="313"/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>минимальный отступ зданий, строений, сооружений от передней границы участка</w:t>
            </w: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м</w:t>
            </w: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5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ind w:left="313"/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>минимальный отступ зданий, строений, сооружений от боковой границы участка</w:t>
            </w: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м</w:t>
            </w: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3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ind w:left="313"/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>минимальный отступ зданий, строений, сооружений от задней границы участка</w:t>
            </w: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м</w:t>
            </w: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3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</w:p>
        </w:tc>
      </w:tr>
      <w:tr w:rsidR="00EB17E9" w:rsidRPr="00EB17E9" w:rsidTr="00CB6C3D">
        <w:tc>
          <w:tcPr>
            <w:tcW w:w="9564" w:type="dxa"/>
            <w:gridSpan w:val="3"/>
          </w:tcPr>
          <w:p w:rsidR="00EB17E9" w:rsidRPr="00EB17E9" w:rsidRDefault="00EB17E9" w:rsidP="00CB6C3D">
            <w:pPr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lastRenderedPageBreak/>
              <w:t>Высота зданий для всех основных строений от уровня земли: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ind w:firstLine="313"/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 xml:space="preserve">до верха плоской кровли не более </w:t>
            </w: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м</w:t>
            </w: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9,6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ind w:firstLine="313"/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>до конька скатной кровли не более</w:t>
            </w: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м</w:t>
            </w: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13,6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rPr>
                <w:sz w:val="24"/>
                <w:szCs w:val="24"/>
              </w:rPr>
            </w:pPr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</w:p>
        </w:tc>
      </w:tr>
      <w:tr w:rsidR="00EB17E9" w:rsidRPr="00EB17E9" w:rsidTr="00CB6C3D">
        <w:tc>
          <w:tcPr>
            <w:tcW w:w="9564" w:type="dxa"/>
            <w:gridSpan w:val="3"/>
          </w:tcPr>
          <w:p w:rsidR="00EB17E9" w:rsidRPr="00EB17E9" w:rsidRDefault="00EB17E9" w:rsidP="00CB6C3D">
            <w:pPr>
              <w:rPr>
                <w:sz w:val="24"/>
                <w:szCs w:val="24"/>
                <w:lang w:val="ru-RU"/>
              </w:rPr>
            </w:pPr>
            <w:r w:rsidRPr="00EB17E9">
              <w:rPr>
                <w:sz w:val="24"/>
                <w:szCs w:val="24"/>
                <w:lang w:val="ru-RU"/>
              </w:rPr>
              <w:t>Максимальный процент застройки в границах земельного участка:</w:t>
            </w:r>
          </w:p>
        </w:tc>
      </w:tr>
      <w:tr w:rsidR="00EB17E9" w:rsidRPr="008E3952" w:rsidTr="00CB6C3D">
        <w:tc>
          <w:tcPr>
            <w:tcW w:w="6941" w:type="dxa"/>
          </w:tcPr>
          <w:p w:rsidR="00EB17E9" w:rsidRPr="00EB17E9" w:rsidRDefault="00EB17E9" w:rsidP="00CB6C3D">
            <w:pPr>
              <w:ind w:left="313"/>
              <w:rPr>
                <w:sz w:val="24"/>
                <w:szCs w:val="24"/>
              </w:rPr>
            </w:pPr>
            <w:proofErr w:type="spellStart"/>
            <w:r w:rsidRPr="00EB17E9">
              <w:rPr>
                <w:sz w:val="24"/>
                <w:szCs w:val="24"/>
              </w:rPr>
              <w:t>для</w:t>
            </w:r>
            <w:proofErr w:type="spellEnd"/>
            <w:r w:rsidRPr="00EB17E9">
              <w:rPr>
                <w:sz w:val="24"/>
                <w:szCs w:val="24"/>
              </w:rPr>
              <w:t xml:space="preserve"> </w:t>
            </w:r>
            <w:proofErr w:type="spellStart"/>
            <w:r w:rsidRPr="00EB17E9">
              <w:rPr>
                <w:sz w:val="24"/>
                <w:szCs w:val="24"/>
              </w:rPr>
              <w:t>индивидуальных</w:t>
            </w:r>
            <w:proofErr w:type="spellEnd"/>
            <w:r w:rsidRPr="00EB17E9">
              <w:rPr>
                <w:sz w:val="24"/>
                <w:szCs w:val="24"/>
              </w:rPr>
              <w:t xml:space="preserve"> </w:t>
            </w:r>
            <w:proofErr w:type="spellStart"/>
            <w:r w:rsidRPr="00EB17E9">
              <w:rPr>
                <w:sz w:val="24"/>
                <w:szCs w:val="24"/>
              </w:rPr>
              <w:t>домов</w:t>
            </w:r>
            <w:proofErr w:type="spellEnd"/>
          </w:p>
        </w:tc>
        <w:tc>
          <w:tcPr>
            <w:tcW w:w="1292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%</w:t>
            </w:r>
          </w:p>
        </w:tc>
        <w:tc>
          <w:tcPr>
            <w:tcW w:w="1331" w:type="dxa"/>
          </w:tcPr>
          <w:p w:rsidR="00EB17E9" w:rsidRPr="00EB17E9" w:rsidRDefault="00EB17E9" w:rsidP="00CB6C3D">
            <w:pPr>
              <w:jc w:val="center"/>
              <w:rPr>
                <w:sz w:val="24"/>
                <w:szCs w:val="24"/>
              </w:rPr>
            </w:pPr>
            <w:r w:rsidRPr="00EB17E9">
              <w:rPr>
                <w:sz w:val="24"/>
                <w:szCs w:val="24"/>
              </w:rPr>
              <w:t>20</w:t>
            </w:r>
          </w:p>
        </w:tc>
      </w:tr>
    </w:tbl>
    <w:p w:rsidR="00EB17E9" w:rsidRPr="008E3952" w:rsidRDefault="00EB17E9" w:rsidP="00EB17E9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</w:p>
    <w:p w:rsidR="00EB17E9" w:rsidRPr="008E3952" w:rsidRDefault="00EB17E9" w:rsidP="00EB17E9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8E3952">
        <w:rPr>
          <w:rFonts w:ascii="Times New Roman" w:hAnsi="Times New Roman" w:cs="Times New Roman"/>
          <w:b/>
          <w:sz w:val="24"/>
          <w:szCs w:val="24"/>
        </w:rPr>
        <w:t>Ограничения</w:t>
      </w:r>
      <w:proofErr w:type="spellEnd"/>
      <w:r w:rsidRPr="008E39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3952">
        <w:rPr>
          <w:rFonts w:ascii="Times New Roman" w:hAnsi="Times New Roman" w:cs="Times New Roman"/>
          <w:b/>
          <w:sz w:val="24"/>
          <w:szCs w:val="24"/>
        </w:rPr>
        <w:t>использования</w:t>
      </w:r>
      <w:proofErr w:type="spellEnd"/>
      <w:r w:rsidRPr="008E39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3952">
        <w:rPr>
          <w:rFonts w:ascii="Times New Roman" w:hAnsi="Times New Roman" w:cs="Times New Roman"/>
          <w:b/>
          <w:sz w:val="24"/>
          <w:szCs w:val="24"/>
        </w:rPr>
        <w:t>земельного</w:t>
      </w:r>
      <w:proofErr w:type="spellEnd"/>
      <w:r w:rsidRPr="008E395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E3952">
        <w:rPr>
          <w:rFonts w:ascii="Times New Roman" w:hAnsi="Times New Roman" w:cs="Times New Roman"/>
          <w:b/>
          <w:sz w:val="24"/>
          <w:szCs w:val="24"/>
        </w:rPr>
        <w:t>участка</w:t>
      </w:r>
      <w:proofErr w:type="spellEnd"/>
      <w:r w:rsidRPr="008E395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Земельный участок расположен в 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водоохранной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зоне и прибрежной защитной полосе, которые утверждены Приказом Министерства природных ресурсов и охраны окружающей среды Республики Коми № 472 от 22.10.2015 «Об утверждении каталогов координатных опорных точек прохождения границ 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водоохранной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зоны и границ прибрежной защитной полосы р. 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Вычегда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на территории МО МР «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Сыктывдинский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>», МО МР «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Усть-Куломский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>», МО МР «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Усть-Вымский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» Республики Коми». 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Ограничения использования земельного участка в таких зонах установлены частями 16 и 17 Водного кодекса Российской Федерации. 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Подробно с информацией об основных, вспомогательных, условно разрешенных видах разрешенного использования земельного участка, установленных для территориальной зоны, можно ознакомиться на сайте </w:t>
      </w:r>
      <w:hyperlink r:id="rId6" w:history="1">
        <w:r w:rsidRPr="008E3952">
          <w:rPr>
            <w:rFonts w:ascii="Times New Roman" w:hAnsi="Times New Roman" w:cs="Times New Roman"/>
            <w:sz w:val="24"/>
            <w:szCs w:val="24"/>
          </w:rPr>
          <w:t>https</w:t>
        </w:r>
        <w:r w:rsidRPr="008E3952">
          <w:rPr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8E3952">
          <w:rPr>
            <w:rFonts w:ascii="Times New Roman" w:hAnsi="Times New Roman" w:cs="Times New Roman"/>
            <w:sz w:val="24"/>
            <w:szCs w:val="24"/>
          </w:rPr>
          <w:t>syktyvdin</w:t>
        </w:r>
        <w:proofErr w:type="spellEnd"/>
        <w:r w:rsidRPr="008E3952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E3952">
          <w:rPr>
            <w:rFonts w:ascii="Times New Roman" w:hAnsi="Times New Roman" w:cs="Times New Roman"/>
            <w:sz w:val="24"/>
            <w:szCs w:val="24"/>
          </w:rPr>
          <w:t>gosuslugi</w:t>
        </w:r>
        <w:proofErr w:type="spellEnd"/>
        <w:r w:rsidRPr="008E3952">
          <w:rPr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8E3952">
          <w:rPr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в разделе «Деятельность», подраздел «Территориальное планирование», Правила землепользования и застройки. 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b/>
          <w:sz w:val="24"/>
          <w:szCs w:val="24"/>
          <w:lang w:val="ru-RU"/>
        </w:rPr>
        <w:t>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обеспечения: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>Имеется техническая возможность подключения к абонентским сетям (телефония и интернет) ПАО «Ростелеком», электрическим сетям филиала ПАО «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Россети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Северо-Запад» в Республике Коми. </w:t>
      </w: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Отсутствует возможность подключения к сетям газораспределения АО «Газпром газораспределение Сыктывкар», к инженерным сетям теплоснабжения, холодного водоснабжения, горячего водоснабжения и водоотведения МУП «Энергия». </w:t>
      </w:r>
    </w:p>
    <w:p w:rsidR="00EB17E9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Указанная выше информация о возможности подключения (технологического присоединения) объектов капитального строительства к сетям инженерно-технического обеспечения является предварительной. Подключение к инженерно-техническим сетям производится собственниками земельных участков самостоятельно за плату. </w:t>
      </w:r>
    </w:p>
    <w:p w:rsidR="00EB17E9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17E9" w:rsidRPr="008E3952" w:rsidRDefault="00EB17E9" w:rsidP="00EB17E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17E9" w:rsidRPr="008E3952" w:rsidRDefault="00EB17E9" w:rsidP="00EB17E9">
      <w:pPr>
        <w:jc w:val="center"/>
        <w:rPr>
          <w:rFonts w:ascii="Times New Roman" w:eastAsia="Arial Unicode MS" w:hAnsi="Times New Roman" w:cs="Times New Roman"/>
          <w:kern w:val="1"/>
          <w:sz w:val="26"/>
          <w:szCs w:val="26"/>
          <w:lang w:val="ru-RU" w:eastAsia="ar-SA"/>
        </w:rPr>
      </w:pPr>
      <w:r>
        <w:rPr>
          <w:noProof/>
          <w:lang w:val="ru-RU" w:eastAsia="ru-RU"/>
        </w:rPr>
        <w:drawing>
          <wp:inline distT="0" distB="0" distL="0" distR="0" wp14:anchorId="6BCB41D9" wp14:editId="6FAA0795">
            <wp:extent cx="1828475" cy="1371682"/>
            <wp:effectExtent l="0" t="0" r="635" b="0"/>
            <wp:docPr id="4" name="Рисунок 4" descr="https://urzhumskij-r43.gosweb.gosuslugi.ru/netcat_files/36/42/Prodazha_imuschestva_predpriyat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zhumskij-r43.gosweb.gosuslugi.ru/netcat_files/36/42/Prodazha_imuschestva_predpriyatiy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70" cy="139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7E9" w:rsidRPr="00EB17E9" w:rsidRDefault="00EB17E9" w:rsidP="00EB17E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17E9">
        <w:rPr>
          <w:rFonts w:ascii="Times New Roman" w:hAnsi="Times New Roman" w:cs="Times New Roman"/>
          <w:sz w:val="24"/>
          <w:szCs w:val="24"/>
          <w:lang w:val="ru-RU"/>
        </w:rPr>
        <w:t>Физические и юридические лица, заинтересованные в приобретении вышеуказанных объектов в собственность, могут подать информацию о намерении участвовать в аукционе на право заключения договора купли-продажи следующими способами:</w:t>
      </w:r>
    </w:p>
    <w:p w:rsidR="00EB17E9" w:rsidRPr="008E3952" w:rsidRDefault="00EB17E9" w:rsidP="00EB17E9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лично, при непосредственном обращении в администрацию сельского поселения «Зеленец», по адресу: Республика Коми, 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Сыктывдинский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муниципальный район, с. Зеленец, 2-й квартал, д. </w:t>
      </w:r>
      <w:proofErr w:type="gramStart"/>
      <w:r w:rsidRPr="008E3952">
        <w:rPr>
          <w:rFonts w:ascii="Times New Roman" w:hAnsi="Times New Roman" w:cs="Times New Roman"/>
          <w:sz w:val="24"/>
          <w:szCs w:val="24"/>
          <w:lang w:val="ru-RU"/>
        </w:rPr>
        <w:t>12</w:t>
      </w:r>
      <w:proofErr w:type="gram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а, 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каб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>. 25;</w:t>
      </w:r>
    </w:p>
    <w:p w:rsidR="00EB17E9" w:rsidRPr="008E3952" w:rsidRDefault="00EB17E9" w:rsidP="00EB17E9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почтовым отправлением по адресу: 168200, Республика Коми, </w:t>
      </w:r>
      <w:proofErr w:type="spellStart"/>
      <w:r w:rsidRPr="008E3952">
        <w:rPr>
          <w:rFonts w:ascii="Times New Roman" w:hAnsi="Times New Roman" w:cs="Times New Roman"/>
          <w:sz w:val="24"/>
          <w:szCs w:val="24"/>
          <w:lang w:val="ru-RU"/>
        </w:rPr>
        <w:t>Сыктывдинский</w:t>
      </w:r>
      <w:proofErr w:type="spell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муниципальный район, с. Зеленец, 2-й квартал, д. </w:t>
      </w:r>
      <w:proofErr w:type="gramStart"/>
      <w:r w:rsidRPr="008E3952">
        <w:rPr>
          <w:rFonts w:ascii="Times New Roman" w:hAnsi="Times New Roman" w:cs="Times New Roman"/>
          <w:sz w:val="24"/>
          <w:szCs w:val="24"/>
          <w:lang w:val="ru-RU"/>
        </w:rPr>
        <w:t>12</w:t>
      </w:r>
      <w:proofErr w:type="gramEnd"/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а;</w:t>
      </w:r>
    </w:p>
    <w:p w:rsidR="00EB17E9" w:rsidRPr="00650307" w:rsidRDefault="00EB17E9" w:rsidP="00EB17E9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E3952">
        <w:rPr>
          <w:rFonts w:ascii="Times New Roman" w:hAnsi="Times New Roman" w:cs="Times New Roman"/>
          <w:sz w:val="24"/>
          <w:szCs w:val="24"/>
          <w:lang w:val="ru-RU"/>
        </w:rPr>
        <w:t xml:space="preserve"> по адресу электронной почты </w:t>
      </w:r>
      <w:hyperlink r:id="rId8" w:history="1"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spz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@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syktyvdin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.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rkomi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.</w:t>
        </w:r>
        <w:proofErr w:type="spellStart"/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ru</w:t>
        </w:r>
        <w:proofErr w:type="spellEnd"/>
      </w:hyperlink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;</w:t>
      </w:r>
    </w:p>
    <w:p w:rsidR="00EB17E9" w:rsidRPr="00612B6E" w:rsidRDefault="00EB17E9" w:rsidP="00EB17E9">
      <w:pPr>
        <w:pStyle w:val="a3"/>
        <w:numPr>
          <w:ilvl w:val="0"/>
          <w:numId w:val="1"/>
        </w:numPr>
        <w:spacing w:after="0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lastRenderedPageBreak/>
        <w:t>через официальную страничку в социальной сети «</w:t>
      </w:r>
      <w:proofErr w:type="spellStart"/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ВКонтакте</w:t>
      </w:r>
      <w:proofErr w:type="spellEnd"/>
      <w:r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 xml:space="preserve">» </w:t>
      </w:r>
      <w:hyperlink r:id="rId9" w:history="1">
        <w:r w:rsidRPr="00D46348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https://vk.com/public95960457</w:t>
        </w:r>
      </w:hyperlink>
    </w:p>
    <w:p w:rsidR="00EB17E9" w:rsidRPr="00EB17E9" w:rsidRDefault="00EB17E9" w:rsidP="00EB17E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17E9" w:rsidRPr="00EB17E9" w:rsidRDefault="00EB17E9" w:rsidP="00EB17E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EB17E9" w:rsidRPr="00EB17E9" w:rsidRDefault="00EB17E9" w:rsidP="00EB17E9">
      <w:pPr>
        <w:spacing w:after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B17E9">
        <w:rPr>
          <w:rFonts w:ascii="Times New Roman" w:hAnsi="Times New Roman" w:cs="Times New Roman"/>
          <w:sz w:val="24"/>
          <w:szCs w:val="24"/>
          <w:lang w:val="ru-RU"/>
        </w:rPr>
        <w:t xml:space="preserve">По всем возникающим вопросам обращать по телефону 8/82130/76-5-70 или адресу электронной почты </w:t>
      </w:r>
      <w:hyperlink r:id="rId10" w:history="1"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spz</w:t>
        </w:r>
        <w:r w:rsidRPr="00EB17E9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@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syktyvdin</w:t>
        </w:r>
        <w:r w:rsidRPr="00EB17E9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.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rkomi</w:t>
        </w:r>
        <w:r w:rsidRPr="00EB17E9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  <w:lang w:val="ru-RU"/>
          </w:rPr>
          <w:t>.</w:t>
        </w:r>
        <w:r w:rsidRPr="008E3952">
          <w:rPr>
            <w:rStyle w:val="a5"/>
            <w:rFonts w:ascii="Times New Roman" w:eastAsia="Arial Unicode MS" w:hAnsi="Times New Roman" w:cs="Times New Roman"/>
            <w:bCs/>
            <w:sz w:val="24"/>
            <w:szCs w:val="24"/>
          </w:rPr>
          <w:t>ru</w:t>
        </w:r>
      </w:hyperlink>
      <w:r w:rsidRPr="00EB17E9">
        <w:rPr>
          <w:rFonts w:ascii="Times New Roman" w:eastAsia="Arial Unicode MS" w:hAnsi="Times New Roman" w:cs="Times New Roman"/>
          <w:bCs/>
          <w:sz w:val="24"/>
          <w:szCs w:val="24"/>
          <w:lang w:val="ru-RU"/>
        </w:rPr>
        <w:t>.</w:t>
      </w:r>
    </w:p>
    <w:p w:rsidR="00EB17E9" w:rsidRPr="003F3B67" w:rsidRDefault="00EB17E9">
      <w:pPr>
        <w:rPr>
          <w:lang w:val="ru-RU"/>
        </w:rPr>
      </w:pPr>
    </w:p>
    <w:sectPr w:rsidR="00EB17E9" w:rsidRPr="003F3B67" w:rsidSect="00EB17E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8ED4972"/>
    <w:multiLevelType w:val="hybridMultilevel"/>
    <w:tmpl w:val="36C0AF24"/>
    <w:lvl w:ilvl="0" w:tplc="CCA6A89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17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50"/>
    <w:rsid w:val="003F3B67"/>
    <w:rsid w:val="00631716"/>
    <w:rsid w:val="00EB17E9"/>
    <w:rsid w:val="00F60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98726D3-B350-4A46-AB16-16948FE18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3B67"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3B67"/>
    <w:pPr>
      <w:ind w:left="720"/>
      <w:contextualSpacing/>
    </w:pPr>
  </w:style>
  <w:style w:type="table" w:styleId="a4">
    <w:name w:val="Table Grid"/>
    <w:basedOn w:val="a1"/>
    <w:uiPriority w:val="39"/>
    <w:rsid w:val="00EB17E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rsid w:val="00EB17E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pz@syktyvdin.rkomi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syktyvdin.gosuslugi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mailto:spz@syktyvdin.rkomi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public9596045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694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2024-02-05T11:45:00Z</dcterms:created>
  <dcterms:modified xsi:type="dcterms:W3CDTF">2024-02-05T12:11:00Z</dcterms:modified>
</cp:coreProperties>
</file>