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CB60A4" w:rsidRPr="00096B1D" w:rsidTr="00B05F76">
        <w:tc>
          <w:tcPr>
            <w:tcW w:w="3969" w:type="dxa"/>
            <w:vAlign w:val="center"/>
            <w:hideMark/>
          </w:tcPr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CB60A4" w:rsidRPr="00096B1D" w:rsidRDefault="00CB60A4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CB60A4" w:rsidRPr="00096B1D" w:rsidRDefault="00CB60A4" w:rsidP="00B05F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CB60A4" w:rsidRPr="00096B1D" w:rsidRDefault="00CB60A4" w:rsidP="00B05F7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6B1D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574ED7" wp14:editId="77787D5F">
                  <wp:extent cx="724535" cy="983615"/>
                  <wp:effectExtent l="0" t="0" r="0" b="6985"/>
                  <wp:docPr id="7" name="Рисунок 7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CB60A4" w:rsidRPr="00096B1D" w:rsidRDefault="00CB60A4" w:rsidP="00B05F76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096B1D">
              <w:rPr>
                <w:rFonts w:ascii="Times New Roman" w:eastAsia="Times New Roman" w:hAnsi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CB60A4" w:rsidRPr="00096B1D" w:rsidRDefault="00CB60A4" w:rsidP="00CB60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96B1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6B1D">
        <w:rPr>
          <w:rFonts w:ascii="Times New Roman" w:hAnsi="Times New Roman"/>
          <w:b/>
          <w:sz w:val="28"/>
          <w:szCs w:val="28"/>
        </w:rPr>
        <w:t>-----------------------------------------------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6B1D">
        <w:rPr>
          <w:rFonts w:ascii="Times New Roman" w:hAnsi="Times New Roman"/>
          <w:b/>
          <w:sz w:val="28"/>
          <w:szCs w:val="28"/>
          <w:lang w:eastAsia="ar-SA"/>
        </w:rPr>
        <w:t>Ш</w:t>
      </w:r>
      <w:proofErr w:type="gramEnd"/>
      <w:r w:rsidRPr="00096B1D">
        <w:rPr>
          <w:rFonts w:ascii="Times New Roman" w:hAnsi="Times New Roman"/>
          <w:b/>
          <w:sz w:val="28"/>
          <w:szCs w:val="28"/>
          <w:lang w:eastAsia="ar-SA"/>
        </w:rPr>
        <w:t xml:space="preserve"> У Ö М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B60A4" w:rsidRPr="00096B1D" w:rsidTr="00B05F76">
        <w:tc>
          <w:tcPr>
            <w:tcW w:w="4672" w:type="dxa"/>
          </w:tcPr>
          <w:p w:rsidR="00CB60A4" w:rsidRPr="00096B1D" w:rsidRDefault="00CB60A4" w:rsidP="00B05F76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19 апреля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5075" w:type="dxa"/>
          </w:tcPr>
          <w:p w:rsidR="00CB60A4" w:rsidRPr="00096B1D" w:rsidRDefault="00CB60A4" w:rsidP="00CB60A4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Pr="00096B1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</w:tr>
    </w:tbl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>Республика Коми, Сыктывдинский район, с.Зеленец</w:t>
      </w:r>
    </w:p>
    <w:p w:rsidR="00CB60A4" w:rsidRPr="00096B1D" w:rsidRDefault="00CB60A4" w:rsidP="00CB60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6B1D">
        <w:rPr>
          <w:rFonts w:ascii="Times New Roman" w:hAnsi="Times New Roman"/>
          <w:sz w:val="24"/>
          <w:szCs w:val="24"/>
        </w:rPr>
        <w:t xml:space="preserve">Коми Республика, </w:t>
      </w:r>
      <w:proofErr w:type="spellStart"/>
      <w:r w:rsidRPr="00096B1D">
        <w:rPr>
          <w:rFonts w:ascii="Times New Roman" w:hAnsi="Times New Roman"/>
          <w:sz w:val="24"/>
          <w:szCs w:val="24"/>
        </w:rPr>
        <w:t>Сыктывдін</w:t>
      </w:r>
      <w:proofErr w:type="spellEnd"/>
      <w:r w:rsidRPr="00096B1D">
        <w:rPr>
          <w:rFonts w:ascii="Times New Roman" w:hAnsi="Times New Roman"/>
          <w:sz w:val="24"/>
          <w:szCs w:val="24"/>
        </w:rPr>
        <w:t xml:space="preserve"> район, Зеленеч </w:t>
      </w:r>
      <w:proofErr w:type="gramStart"/>
      <w:r w:rsidRPr="00096B1D">
        <w:rPr>
          <w:rFonts w:ascii="Times New Roman" w:hAnsi="Times New Roman"/>
          <w:sz w:val="24"/>
          <w:szCs w:val="24"/>
        </w:rPr>
        <w:t>с</w:t>
      </w:r>
      <w:proofErr w:type="gramEnd"/>
      <w:r w:rsidRPr="00096B1D">
        <w:rPr>
          <w:rFonts w:ascii="Times New Roman" w:hAnsi="Times New Roman"/>
          <w:sz w:val="24"/>
          <w:szCs w:val="24"/>
        </w:rPr>
        <w:t>.</w:t>
      </w:r>
    </w:p>
    <w:p w:rsidR="00CB60A4" w:rsidRDefault="00CB60A4" w:rsidP="00CB60A4">
      <w:pPr>
        <w:tabs>
          <w:tab w:val="left" w:pos="1859"/>
        </w:tabs>
        <w:spacing w:after="0" w:line="240" w:lineRule="auto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5B7FC1" w:rsidRDefault="00AE0255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Об утверждении муниципальной программы</w:t>
      </w:r>
      <w:r w:rsid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 xml:space="preserve"> </w:t>
      </w:r>
      <w:r w:rsidR="00092F2A" w:rsidRP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«</w:t>
      </w:r>
      <w:r w:rsidR="00092F2A"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Содействие занятости населения</w:t>
      </w:r>
    </w:p>
    <w:p w:rsidR="005B7FC1" w:rsidRDefault="00092F2A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муниципального образования сельского поселения «Зеленец» </w:t>
      </w:r>
    </w:p>
    <w:p w:rsidR="00AE0255" w:rsidRDefault="00092F2A" w:rsidP="00AE0255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CB60A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CB60A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092F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  <w:r w:rsidRPr="00092F2A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»</w:t>
      </w:r>
    </w:p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Default="00AE0255" w:rsidP="00CB60A4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Во исполнение ст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атьи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14 Федерального закона Российской Федерации от 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6 октября 2003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№131-ФЗ «Об общих принципах организации местного самоуправления в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Российской Федерации», Устава муниципального образования сельского поселения «Зеленец», постановления главы сельского поселения «Зеленец» - руководителя администрации поселения от 31 марта 2009 г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акции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постановления администрации сельского поселения «Зеленец» от 25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ноября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2013 г</w:t>
      </w:r>
      <w:r w:rsid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ода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№ 11/425), 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решения Совета сельского поселения «Зеленец» от 18 апреля 2023 года № 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val="en-US" w:eastAsia="ru-RU"/>
        </w:rPr>
        <w:t>V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/26-01 «</w:t>
      </w:r>
      <w:r w:rsidR="00CB60A4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 внесении изменений в решение Совета сельского поселения «Зеленец»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="00CB60A4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от 23 декабря 2022 года № V/22-02 «О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 </w:t>
      </w:r>
      <w:r w:rsidR="00CB60A4" w:rsidRPr="00951CAD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бюджете муниципального образования сельского поселения «Зеленец» на 2023 год и плановый период 2024-2025 годов»</w:t>
      </w:r>
      <w:r w:rsidR="0025547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администрация сельского поселения «Зеленец» </w:t>
      </w:r>
      <w:proofErr w:type="gramEnd"/>
    </w:p>
    <w:p w:rsidR="00AE0255" w:rsidRDefault="00CB60A4" w:rsidP="005B7FC1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постановляет</w:t>
      </w:r>
      <w:r w:rsidR="00AE0255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>:</w:t>
      </w:r>
    </w:p>
    <w:p w:rsidR="00AE0255" w:rsidRDefault="00AE0255" w:rsidP="00AE0255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AE0255" w:rsidRPr="005B7FC1" w:rsidRDefault="005B7FC1" w:rsidP="005B7F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1. </w:t>
      </w:r>
      <w:r w:rsidR="00AE0255" w:rsidRP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Утвердить муниципальную программу </w:t>
      </w:r>
      <w:r w:rsidR="00092F2A" w:rsidRPr="005B7FC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</w:t>
      </w:r>
      <w:r w:rsidR="00092F2A" w:rsidRPr="005B7FC1">
        <w:rPr>
          <w:rFonts w:ascii="Times New Roman" w:eastAsia="Times New Roman" w:hAnsi="Times New Roman"/>
          <w:sz w:val="24"/>
          <w:szCs w:val="24"/>
          <w:lang w:eastAsia="ru-RU"/>
        </w:rPr>
        <w:t>Содействие занятости населения на территории муниципального образования сельского поселения «Зеленец» на 202</w:t>
      </w:r>
      <w:r w:rsidR="00CB60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B60A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92F2A" w:rsidRPr="005B7FC1"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  <w:r w:rsidR="00092F2A" w:rsidRPr="005B7FC1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» </w:t>
      </w:r>
      <w:r w:rsidR="00AE0255" w:rsidRP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согласно приложению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к настоящему постановлению</w:t>
      </w:r>
      <w:r w:rsidR="00AE0255" w:rsidRPr="005B7FC1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</w:t>
      </w:r>
    </w:p>
    <w:p w:rsidR="005B7FC1" w:rsidRDefault="005B7FC1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Плетеневу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 Ю.А., ведущего специалиста администрации. </w:t>
      </w:r>
    </w:p>
    <w:p w:rsidR="005B7FC1" w:rsidRDefault="005B7FC1" w:rsidP="005B7FC1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3. Настоящее постановление вступает в силу со дня обнародования в местах, определенных Уставом муниципального образовани</w:t>
      </w:r>
      <w:r w:rsidR="00CB60A4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я сельского поселения «Зеленец».</w:t>
      </w: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5B7FC1" w:rsidRDefault="005B7FC1" w:rsidP="005B7FC1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B7FC1" w:rsidTr="00C04D64">
        <w:tc>
          <w:tcPr>
            <w:tcW w:w="4927" w:type="dxa"/>
          </w:tcPr>
          <w:p w:rsidR="005B7FC1" w:rsidRDefault="005B7FC1" w:rsidP="00C04D64">
            <w:pPr>
              <w:tabs>
                <w:tab w:val="left" w:pos="1859"/>
              </w:tabs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5B7FC1" w:rsidRDefault="005B7FC1" w:rsidP="00C04D64">
            <w:pPr>
              <w:tabs>
                <w:tab w:val="left" w:pos="1859"/>
              </w:tabs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А.С. Якунин</w:t>
            </w:r>
          </w:p>
        </w:tc>
      </w:tr>
    </w:tbl>
    <w:p w:rsidR="00AE0255" w:rsidRDefault="00AE0255" w:rsidP="00AE0255">
      <w:pPr>
        <w:tabs>
          <w:tab w:val="left" w:pos="1859"/>
        </w:tabs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927066" w:rsidRDefault="00927066"/>
    <w:p w:rsidR="005B7FC1" w:rsidRDefault="005B7FC1"/>
    <w:p w:rsidR="005B7FC1" w:rsidRDefault="005B7FC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5B7FC1" w:rsidRPr="00865718" w:rsidTr="00C04D64">
        <w:tc>
          <w:tcPr>
            <w:tcW w:w="6204" w:type="dxa"/>
          </w:tcPr>
          <w:p w:rsidR="005B7FC1" w:rsidRDefault="005B7FC1" w:rsidP="00C04D64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50" w:type="dxa"/>
          </w:tcPr>
          <w:p w:rsidR="00CB60A4" w:rsidRDefault="00CB60A4" w:rsidP="00CB60A4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Приложение</w:t>
            </w:r>
          </w:p>
          <w:p w:rsidR="005B7FC1" w:rsidRPr="00865718" w:rsidRDefault="005B7FC1" w:rsidP="00CB60A4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У</w:t>
            </w:r>
            <w:r w:rsidR="00CB60A4">
              <w:rPr>
                <w:rFonts w:ascii="Times New Roman" w:eastAsia="Times New Roman" w:hAnsi="Times New Roman"/>
                <w:sz w:val="24"/>
                <w:lang w:eastAsia="ru-RU"/>
              </w:rPr>
              <w:t>тверждена</w:t>
            </w:r>
          </w:p>
          <w:p w:rsidR="005B7FC1" w:rsidRPr="00865718" w:rsidRDefault="005B7FC1" w:rsidP="00CB60A4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постановлением администрации</w:t>
            </w:r>
          </w:p>
          <w:p w:rsidR="005B7FC1" w:rsidRPr="00865718" w:rsidRDefault="005B7FC1" w:rsidP="00CB60A4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сельского поселения «Зеленец»</w:t>
            </w:r>
          </w:p>
          <w:p w:rsidR="005B7FC1" w:rsidRPr="00865718" w:rsidRDefault="005B7FC1" w:rsidP="00CB60A4">
            <w:pPr>
              <w:jc w:val="righ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от </w:t>
            </w:r>
            <w:r w:rsidR="00255478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="00CB60A4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апреля 202</w:t>
            </w:r>
            <w:r w:rsidR="00CB60A4">
              <w:rPr>
                <w:rFonts w:ascii="Times New Roman" w:eastAsia="Times New Roman" w:hAnsi="Times New Roman"/>
                <w:sz w:val="24"/>
                <w:lang w:eastAsia="ru-RU"/>
              </w:rPr>
              <w:t xml:space="preserve">3 </w:t>
            </w:r>
            <w:r w:rsidRPr="00865718">
              <w:rPr>
                <w:rFonts w:ascii="Times New Roman" w:eastAsia="Times New Roman" w:hAnsi="Times New Roman"/>
                <w:sz w:val="24"/>
                <w:lang w:eastAsia="ru-RU"/>
              </w:rPr>
              <w:t>г. № 4/</w:t>
            </w:r>
            <w:r w:rsidR="00CB60A4">
              <w:rPr>
                <w:rFonts w:ascii="Times New Roman" w:eastAsia="Times New Roman" w:hAnsi="Times New Roman"/>
                <w:sz w:val="24"/>
                <w:lang w:eastAsia="ru-RU"/>
              </w:rPr>
              <w:t>57</w:t>
            </w:r>
          </w:p>
        </w:tc>
      </w:tr>
    </w:tbl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«Содействие занятости населения на территории 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«Зеленец» на 202</w:t>
      </w:r>
      <w:r w:rsidR="00CB60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CB60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5B7F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гг.»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26B" w:rsidRPr="00843A7F" w:rsidRDefault="001A426B" w:rsidP="001A4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ПАСПОРТ </w:t>
      </w:r>
    </w:p>
    <w:tbl>
      <w:tblPr>
        <w:tblW w:w="5000" w:type="pct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6994"/>
      </w:tblGrid>
      <w:tr w:rsidR="001A426B" w:rsidTr="000117BF"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D926B0" w:rsidP="00CB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«Содействие занятости населения на территории муниципального образования сельского поселения «Зеленец» на 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426B" w:rsidRPr="008341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 (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– Программа)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Pr="00A57278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1A426B" w:rsidRPr="00A57278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ст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атья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7.2. Закона Р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оссийской Федерации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19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1032-1 (ред. от </w:t>
            </w:r>
            <w:r w:rsidRPr="00115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 </w:t>
            </w:r>
            <w:r w:rsidRPr="00115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115D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занятости н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аселения в Российской Федерации»;</w:t>
            </w:r>
          </w:p>
          <w:p w:rsidR="001A426B" w:rsidRPr="00A57278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Устав муниципального образования сельского поселения «Зеленец»;</w:t>
            </w:r>
          </w:p>
          <w:p w:rsidR="001A426B" w:rsidRPr="004576BF" w:rsidRDefault="001A426B" w:rsidP="005B7F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Постановление Главы сельского поселения «Зеленец» - руководителя администрации поселения от 31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марта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 г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3/106 «Об утверждении Порядка разработки, утверждения и реализации муниципальных программ муниципального образования сельского поселения «Зеленец» (в ред. постановления администрации сельского поселения «Зеленец» от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 г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11/425).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Разработчик и исполнители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0117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«Зеленец»</w:t>
            </w:r>
          </w:p>
          <w:p w:rsidR="001A426B" w:rsidRDefault="001A426B" w:rsidP="00011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согласованию: ГУ РК «Центр занятости населения Сыктывдинского района»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011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эффективной занятости населения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«Зеленец»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5B7FC1" w:rsidP="005B7FC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в трудоустройстве граждан, ищущих работу</w:t>
            </w:r>
          </w:p>
          <w:p w:rsidR="001A426B" w:rsidRDefault="005B7FC1" w:rsidP="005B7FC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временного трудоустройства безработных граждан</w:t>
            </w:r>
          </w:p>
          <w:p w:rsidR="001A426B" w:rsidRDefault="005B7FC1" w:rsidP="005B7FC1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3. </w:t>
            </w:r>
            <w:r w:rsidR="001A42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временного трудоустройства несовершеннолетних граждан</w:t>
            </w:r>
          </w:p>
        </w:tc>
      </w:tr>
      <w:tr w:rsidR="001A426B" w:rsidTr="005B7FC1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Pr="00A57278" w:rsidRDefault="001A426B" w:rsidP="00CB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B7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572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1A426B" w:rsidTr="005B7FC1">
        <w:tc>
          <w:tcPr>
            <w:tcW w:w="1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5B7F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Предполагаемые объемы и источники финансирования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6B" w:rsidRPr="003E4055" w:rsidRDefault="001A426B" w:rsidP="001A4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Предполагаемый общий объем финансовых средств, необходимых для реализации Программы, составляет 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в том числе по годам:</w:t>
            </w:r>
          </w:p>
          <w:p w:rsidR="001A426B" w:rsidRPr="003E4055" w:rsidRDefault="001A426B" w:rsidP="001A4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A426B" w:rsidRPr="003E4055" w:rsidRDefault="001A426B" w:rsidP="001A42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</w:t>
            </w:r>
            <w:r w:rsidR="003F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1A426B" w:rsidRPr="00A57278" w:rsidRDefault="001A426B" w:rsidP="00CB60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E40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–0 тыс. руб.</w:t>
            </w:r>
          </w:p>
        </w:tc>
      </w:tr>
      <w:tr w:rsidR="001A426B" w:rsidTr="000117BF">
        <w:tc>
          <w:tcPr>
            <w:tcW w:w="14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26B" w:rsidRDefault="001A426B" w:rsidP="005B7F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исполнения Программы</w:t>
            </w:r>
          </w:p>
        </w:tc>
        <w:tc>
          <w:tcPr>
            <w:tcW w:w="35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26B" w:rsidRDefault="001A426B" w:rsidP="00011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5 Программы</w:t>
            </w:r>
          </w:p>
        </w:tc>
      </w:tr>
    </w:tbl>
    <w:p w:rsidR="005B7FC1" w:rsidRDefault="001A426B" w:rsidP="001A42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Содержание проблемы и обоснование ее решения 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программными методами</w:t>
      </w:r>
    </w:p>
    <w:p w:rsidR="001A426B" w:rsidRDefault="001A426B" w:rsidP="001A426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>На 1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B60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уровень зарегистрированной безработицы в сельском поселении «Зеленец» составил 0,8 % (14 человек), из общего числа безработных 5 человек относятся к</w:t>
      </w:r>
      <w:r w:rsidR="005B7FC1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категории испытывающих трудности в поиске работы. 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Это граждане, имеющие ограничение по здоровью, </w:t>
      </w:r>
      <w:proofErr w:type="spellStart"/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>предпенсионного</w:t>
      </w:r>
      <w:proofErr w:type="spellEnd"/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 возраста</w:t>
      </w:r>
      <w:r w:rsidR="005B7FC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 либо одино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кие родители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многодетные родители. </w:t>
      </w:r>
    </w:p>
    <w:p w:rsidR="001A426B" w:rsidRDefault="00D926B0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Зеленец </w:t>
      </w:r>
      <w:r w:rsidR="001A426B">
        <w:rPr>
          <w:rFonts w:ascii="Times New Roman" w:eastAsia="Times New Roman" w:hAnsi="Times New Roman"/>
          <w:sz w:val="24"/>
          <w:szCs w:val="24"/>
          <w:lang w:eastAsia="ru-RU"/>
        </w:rPr>
        <w:t xml:space="preserve">традиционно демонстрирует один из самых низких показателей  безработицы по району, обусловленный близостью г. Сыктывкара. </w:t>
      </w:r>
      <w:r w:rsidR="001A426B">
        <w:rPr>
          <w:rFonts w:ascii="Times New Roman" w:eastAsia="Times New Roman" w:hAnsi="Times New Roman"/>
          <w:sz w:val="24"/>
          <w:szCs w:val="24"/>
          <w:lang w:eastAsia="ar-SA"/>
        </w:rPr>
        <w:t>Близость города (доступность 25-50 минут до мест приложения труда) дает возможность реализовать обеспечение работой часть населения дополнительно к существующим местам приложения труда в селе Зеленец.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С целью снижения уровня безработицы в 2018 году администрация поселения, реализуя Народный проект по ликвидации несанкционированных свалок, временно на период реализации проекта трудоустроила 5 безработных жителей. В 2020 году в ходе реализации Народного проекта по благоустройству общественного кладбища с. </w:t>
      </w:r>
      <w:r w:rsidR="00541643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еленец были организованы 6 рабочих мест, на которые были трудоустроены безработные граждане. 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</w:t>
      </w:r>
      <w:r w:rsidR="00CB60A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541643"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CB60A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54164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также планируется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>рганизация временного трудоустройства безработных граждан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Тем не менее, проблема занятости населения по-прежнему существует. Растет количество подростков, изъявивших желание в свободное от учебы время принять участие в работах по благоустройству села Зеленец. Через трудовое воспитание решается задача социальной адаптации подростков, формирование навыков коллективного труда. Трудоустройство является одновременно формой социальной поддержкой подростков, в том числе из малообеспеченных, многодетных семей и находящихся в трудной жизненной ситуации. 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муниципальной программы в течение календарного года в администрацию сельского поселения «Зеленец» </w:t>
      </w:r>
      <w:proofErr w:type="gramStart"/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>бы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трудоустроены 8-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10 несовершеннолетних работников, задействованных в работах по благоустройству поселения. 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</w:t>
      </w:r>
      <w:r w:rsidR="00CB60A4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-202</w:t>
      </w:r>
      <w:r w:rsidR="00CB60A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годах также планируется о</w:t>
      </w:r>
      <w:r w:rsidRPr="00A57278">
        <w:rPr>
          <w:rFonts w:ascii="Times New Roman" w:eastAsia="Times New Roman" w:hAnsi="Times New Roman"/>
          <w:sz w:val="24"/>
          <w:szCs w:val="24"/>
          <w:lang w:eastAsia="ar-SA"/>
        </w:rPr>
        <w:t xml:space="preserve">рганизация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временного трудоустройства несовершеннолетних граждан.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«Содействие занятости населения на территории муниципального образования сельского поселения «Зеленец» на 202</w:t>
      </w:r>
      <w:r w:rsidR="00CB60A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B60A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416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278">
        <w:rPr>
          <w:rFonts w:ascii="Times New Roman" w:eastAsia="Times New Roman" w:hAnsi="Times New Roman"/>
          <w:sz w:val="24"/>
          <w:szCs w:val="24"/>
          <w:lang w:eastAsia="ru-RU"/>
        </w:rPr>
        <w:t xml:space="preserve">гг.»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создается в целях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обеспечения эффективной занятости населения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«Зеленец».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Реализация мероприятий призвана способствовать стабилизации на рынке труда и социальной адаптации несовершеннолетних граждан и безработных граждан, в том числе граждан, испытывающих трудности в поиске работы. </w:t>
      </w:r>
    </w:p>
    <w:p w:rsid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Pr="00541643" w:rsidRDefault="00541643" w:rsidP="00541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1A426B" w:rsidRPr="00541643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1A426B" w:rsidRPr="001A426B" w:rsidRDefault="001A426B" w:rsidP="001A426B">
      <w:pPr>
        <w:pStyle w:val="a3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990"/>
        <w:gridCol w:w="1119"/>
        <w:gridCol w:w="6"/>
        <w:gridCol w:w="1146"/>
      </w:tblGrid>
      <w:tr w:rsidR="001A426B" w:rsidRPr="00541643" w:rsidTr="00541643">
        <w:trPr>
          <w:cantSplit/>
          <w:trHeight w:val="27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541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>№</w:t>
            </w:r>
          </w:p>
          <w:p w:rsidR="001A426B" w:rsidRPr="00541643" w:rsidRDefault="00541643" w:rsidP="00541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541643">
              <w:rPr>
                <w:rFonts w:ascii="Times New Roman" w:hAnsi="Times New Roman"/>
                <w:b/>
                <w:sz w:val="24"/>
              </w:rPr>
              <w:t>п</w:t>
            </w:r>
            <w:r w:rsidR="001A426B" w:rsidRPr="00541643"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541643" w:rsidRDefault="001A426B" w:rsidP="000117B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 xml:space="preserve"> Наименование мероприятий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41643">
              <w:rPr>
                <w:rFonts w:ascii="Times New Roman" w:hAnsi="Times New Roman"/>
                <w:b/>
                <w:sz w:val="24"/>
              </w:rPr>
              <w:t>Годы/ тыс. руб.</w:t>
            </w:r>
          </w:p>
        </w:tc>
      </w:tr>
      <w:tr w:rsidR="001A426B" w:rsidTr="00541643">
        <w:trPr>
          <w:cantSplit/>
          <w:trHeight w:val="4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26B" w:rsidRDefault="001A426B" w:rsidP="000117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426B" w:rsidRDefault="001A426B" w:rsidP="000117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Default="001A426B" w:rsidP="00CB6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B60A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426B" w:rsidRDefault="001A426B" w:rsidP="00CB6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B60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Default="001A426B" w:rsidP="00CB60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CB60A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A426B" w:rsidRPr="00541643" w:rsidTr="00541643">
        <w:trPr>
          <w:cantSplit/>
          <w:trHeight w:val="19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41643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</w:tr>
      <w:tr w:rsidR="001A426B" w:rsidTr="00541643">
        <w:trPr>
          <w:cantSplit/>
          <w:trHeight w:val="405"/>
        </w:trPr>
        <w:tc>
          <w:tcPr>
            <w:tcW w:w="9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</w:t>
            </w:r>
          </w:p>
          <w:p w:rsidR="001A426B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</w:t>
            </w:r>
            <w:r w:rsidR="001A426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рганизация деятельности по содействию занятости населения </w:t>
            </w:r>
          </w:p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 эффективной работе рынка труда</w:t>
            </w:r>
          </w:p>
        </w:tc>
      </w:tr>
      <w:tr w:rsidR="001A426B" w:rsidTr="005416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Деятельность Комиссии по содействию занятости населения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426B" w:rsidTr="0054164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Ярмарки вакансий совместно с ГУ РК «ЦЗН Сыктывдинского района» (по согласованию)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1643">
              <w:rPr>
                <w:rFonts w:ascii="Times New Roman" w:hAnsi="Times New Roman"/>
                <w:sz w:val="24"/>
              </w:rPr>
              <w:t>-</w:t>
            </w:r>
          </w:p>
        </w:tc>
      </w:tr>
      <w:tr w:rsidR="001A426B" w:rsidTr="0054164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A426B" w:rsidRDefault="001A426B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Временное трудоустройство безработных граждан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41643" w:rsidTr="00541643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43" w:rsidRDefault="00541643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Временное трудоустройство безработных граждан в рамках реализации Народного проекта в сфере занятости населения, прошедших отбор в рамках проекта «Народный бюджет»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643" w:rsidRP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643" w:rsidRPr="00541643" w:rsidRDefault="00541643" w:rsidP="005416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643" w:rsidRP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1643" w:rsidTr="00541643">
        <w:trPr>
          <w:trHeight w:val="11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1643" w:rsidRDefault="00541643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Временное трудоустройство 5 (пяти) безработных граждан на общественные работы по благоустройству территории поселения 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26B" w:rsidTr="0054164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3E4055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0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Pr="003E4055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E405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A426B" w:rsidTr="00541643">
        <w:tc>
          <w:tcPr>
            <w:tcW w:w="9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Мероприятия по трудоустройству несовершеннолетних граждан</w:t>
            </w:r>
          </w:p>
        </w:tc>
      </w:tr>
      <w:tr w:rsidR="001A426B" w:rsidTr="0054164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Информирование населения о трудоустройстве несовершеннолетних в «Отряд Главы сельского поселения «Зеленец», прием заявлений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26B" w:rsidTr="0054164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Заседание комиссии по укреплению общественного порядка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426B" w:rsidTr="00541643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работы по благоустройству и озеленению поселения несовершеннолетними из «Отряда Главы сельского поселения «Зеленец» (10 человек)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541643" w:rsidRDefault="00CB60A4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3F2F0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P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6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26B" w:rsidRPr="00541643" w:rsidTr="00541643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Pr="00541643" w:rsidRDefault="001A426B" w:rsidP="000117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541643" w:rsidRDefault="00CB60A4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3F2F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A426B" w:rsidRPr="005416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P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Pr="00541643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4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1A426B" w:rsidTr="00541643">
        <w:tc>
          <w:tcPr>
            <w:tcW w:w="96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Default="001A426B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26B" w:rsidTr="005416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Default="001A426B" w:rsidP="000117B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426B" w:rsidRDefault="001A426B" w:rsidP="000117B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CB60A4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3F2F0C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26B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26B" w:rsidRDefault="00541643" w:rsidP="000117B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1A426B" w:rsidRDefault="001A426B" w:rsidP="001A4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Ресурсное обеспечение</w:t>
      </w:r>
    </w:p>
    <w:p w:rsidR="00541643" w:rsidRDefault="00541643" w:rsidP="001A42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426B" w:rsidRPr="00B03849" w:rsidRDefault="001A426B" w:rsidP="005416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реализацию муниципальной Программы на 202</w:t>
      </w:r>
      <w:r w:rsidR="00CB60A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CB60A4">
        <w:rPr>
          <w:rFonts w:ascii="Times New Roman" w:hAnsi="Times New Roman"/>
          <w:sz w:val="24"/>
          <w:szCs w:val="24"/>
        </w:rPr>
        <w:t>5</w:t>
      </w:r>
      <w:r w:rsidR="005416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гг. потребуется </w:t>
      </w:r>
      <w:r w:rsidR="00CB60A4">
        <w:rPr>
          <w:rFonts w:ascii="Times New Roman" w:hAnsi="Times New Roman"/>
          <w:sz w:val="24"/>
          <w:szCs w:val="24"/>
        </w:rPr>
        <w:t>90</w:t>
      </w:r>
      <w:r w:rsidR="003F2F0C">
        <w:rPr>
          <w:rFonts w:ascii="Times New Roman" w:hAnsi="Times New Roman"/>
          <w:sz w:val="24"/>
          <w:szCs w:val="24"/>
        </w:rPr>
        <w:t>,0</w:t>
      </w:r>
      <w:r w:rsidRPr="00B05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 Мероприятия Программы будут осуществляться за счет средств бюджета муниципального образования  сельского поселения «Зеленец» при ежегодном утверждении объемов финансирования при разработке бюджета поселения на очередной календарный год.</w:t>
      </w:r>
    </w:p>
    <w:p w:rsidR="00D926B0" w:rsidRDefault="00D926B0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Система управления и контроля</w:t>
      </w:r>
    </w:p>
    <w:p w:rsidR="00541643" w:rsidRDefault="00541643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Программы предполагается осуществить адми</w:t>
      </w:r>
      <w:r w:rsidR="00D926B0">
        <w:rPr>
          <w:rFonts w:ascii="Times New Roman" w:eastAsia="Times New Roman" w:hAnsi="Times New Roman"/>
          <w:sz w:val="24"/>
          <w:szCs w:val="24"/>
          <w:lang w:eastAsia="ru-RU"/>
        </w:rPr>
        <w:t xml:space="preserve">нистрацией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«Зеленец», которая: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обеспечивает эффективное использование средств, выделяемых на реализацию программных  мероприятий;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осуществляет мониторинг в ходе реализации мероприятий Программы;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ежеквартально и по итогам года представляет отчет о выполненных мероприятиях Программы;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 возникновении необходимости вносит изменения в Программ</w:t>
      </w:r>
      <w:r w:rsidR="00541643">
        <w:rPr>
          <w:rFonts w:ascii="Times New Roman" w:eastAsia="Times New Roman" w:hAnsi="Times New Roman"/>
          <w:sz w:val="24"/>
          <w:szCs w:val="24"/>
          <w:lang w:eastAsia="ru-RU"/>
        </w:rPr>
        <w:t xml:space="preserve">у с пояснительной запиской или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указанием положений, требующих соответствующих изменений.</w:t>
      </w:r>
    </w:p>
    <w:p w:rsidR="001A426B" w:rsidRDefault="001A426B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 поселения «Зеленец» представляет в установленном порядке Совету сельского поселения «Зеленец» отчет о ходе реализации Программы.</w:t>
      </w:r>
    </w:p>
    <w:p w:rsidR="001A426B" w:rsidRDefault="001A426B" w:rsidP="001A4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Показатели, характеризующие эффективность выполнения Программы</w:t>
      </w: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426B" w:rsidRDefault="001A426B" w:rsidP="005416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считается эффективной, если будут выполнены следующие показатели: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5263"/>
        <w:gridCol w:w="991"/>
        <w:gridCol w:w="991"/>
        <w:gridCol w:w="991"/>
        <w:gridCol w:w="862"/>
      </w:tblGrid>
      <w:tr w:rsidR="001A426B" w:rsidTr="000117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B60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B05FC4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5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A426B" w:rsidTr="000117BF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выполненных мероприятий в соответствии с Программой (</w:t>
            </w:r>
            <w:proofErr w:type="gramStart"/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98%</w:t>
            </w:r>
          </w:p>
        </w:tc>
      </w:tr>
      <w:tr w:rsidR="001A426B" w:rsidTr="0054164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</w:t>
            </w:r>
            <w:r w:rsidR="00D926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устроенных на временные работы </w:t>
            </w: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безработных граждан в ходе реализации Программы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26B" w:rsidTr="0054164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трудоустроенных  несовершеннолетних граждан поселения в ходе реализации Программы (чел.)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1A426B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4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26B" w:rsidRPr="001A426B" w:rsidRDefault="00541643" w:rsidP="000117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1A426B" w:rsidRDefault="001A426B" w:rsidP="001A42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Default="001A426B" w:rsidP="001A42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Последствия реализации Программы</w:t>
      </w:r>
    </w:p>
    <w:p w:rsidR="001A426B" w:rsidRDefault="001A426B" w:rsidP="001A4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26B" w:rsidRDefault="001A426B" w:rsidP="00541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Программы позволит:</w:t>
      </w:r>
    </w:p>
    <w:p w:rsidR="001A426B" w:rsidRP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1A426B" w:rsidRPr="00541643">
        <w:rPr>
          <w:rFonts w:ascii="Times New Roman" w:eastAsia="Times New Roman" w:hAnsi="Times New Roman"/>
          <w:sz w:val="24"/>
          <w:szCs w:val="24"/>
          <w:lang w:eastAsia="ru-RU"/>
        </w:rPr>
        <w:t>Снизить уровень зарегистрированной безработицы в сельском поселении «Зеленец»;</w:t>
      </w:r>
    </w:p>
    <w:p w:rsidR="001A426B" w:rsidRP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A426B" w:rsidRPr="00541643">
        <w:rPr>
          <w:rFonts w:ascii="Times New Roman" w:eastAsia="Times New Roman" w:hAnsi="Times New Roman"/>
          <w:sz w:val="24"/>
          <w:szCs w:val="24"/>
          <w:lang w:eastAsia="ru-RU"/>
        </w:rPr>
        <w:t>Обеспечить временной работой социально-незащищенную часть населения (граждан, испытывающих трудности в поиске работы, несовершеннолетних);</w:t>
      </w:r>
    </w:p>
    <w:p w:rsidR="001A426B" w:rsidRPr="00541643" w:rsidRDefault="00541643" w:rsidP="005416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1A426B" w:rsidRPr="00541643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летнюю занятость несовершеннолетних. </w:t>
      </w:r>
    </w:p>
    <w:sectPr w:rsidR="001A426B" w:rsidRPr="00541643" w:rsidSect="005B7FC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278AE"/>
    <w:multiLevelType w:val="hybridMultilevel"/>
    <w:tmpl w:val="A720E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5E4"/>
    <w:multiLevelType w:val="hybridMultilevel"/>
    <w:tmpl w:val="69A45380"/>
    <w:lvl w:ilvl="0" w:tplc="BF104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C43A92"/>
    <w:multiLevelType w:val="hybridMultilevel"/>
    <w:tmpl w:val="DA4E7DDA"/>
    <w:lvl w:ilvl="0" w:tplc="328CB1F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092F2A"/>
    <w:rsid w:val="001A426B"/>
    <w:rsid w:val="00255478"/>
    <w:rsid w:val="00284253"/>
    <w:rsid w:val="003F1A23"/>
    <w:rsid w:val="003F2F0C"/>
    <w:rsid w:val="00541643"/>
    <w:rsid w:val="005B7FC1"/>
    <w:rsid w:val="008C7D62"/>
    <w:rsid w:val="009117F1"/>
    <w:rsid w:val="00927066"/>
    <w:rsid w:val="00AE0255"/>
    <w:rsid w:val="00C2489D"/>
    <w:rsid w:val="00CB60A4"/>
    <w:rsid w:val="00D926B0"/>
    <w:rsid w:val="00DA7973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B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25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B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B6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Pyatkova</cp:lastModifiedBy>
  <cp:revision>13</cp:revision>
  <cp:lastPrinted>2022-04-05T07:31:00Z</cp:lastPrinted>
  <dcterms:created xsi:type="dcterms:W3CDTF">2020-11-13T09:18:00Z</dcterms:created>
  <dcterms:modified xsi:type="dcterms:W3CDTF">2023-04-19T09:22:00Z</dcterms:modified>
</cp:coreProperties>
</file>