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1705E6" w14:paraId="7AB0D50F" w14:textId="77777777" w:rsidTr="002A7ED8">
        <w:tc>
          <w:tcPr>
            <w:tcW w:w="5070" w:type="dxa"/>
          </w:tcPr>
          <w:p w14:paraId="5ADF8666" w14:textId="207D4F38" w:rsidR="00933016" w:rsidRPr="001705E6" w:rsidRDefault="00DD7101" w:rsidP="00DD7101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31 января</w:t>
            </w:r>
            <w:r w:rsidR="00933016"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 202</w:t>
            </w:r>
            <w:r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4</w:t>
            </w:r>
            <w:r w:rsidR="00933016"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39E49321" w:rsidR="00933016" w:rsidRPr="001705E6" w:rsidRDefault="00933016" w:rsidP="00DD7101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№ </w:t>
            </w:r>
            <w:r w:rsidR="00DD7101"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1</w:t>
            </w:r>
            <w:r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/</w:t>
            </w:r>
            <w:r w:rsidR="00DD7101" w:rsidRPr="001705E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25</w:t>
            </w:r>
          </w:p>
        </w:tc>
      </w:tr>
    </w:tbl>
    <w:p w14:paraId="6CEA9988" w14:textId="77777777" w:rsidR="00933016" w:rsidRPr="001705E6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F10E49F" w14:textId="77777777" w:rsidR="00933016" w:rsidRPr="001705E6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705E6">
        <w:rPr>
          <w:rFonts w:ascii="Times New Roman" w:eastAsia="Calibri" w:hAnsi="Times New Roman" w:cs="Times New Roman"/>
          <w:sz w:val="23"/>
          <w:szCs w:val="23"/>
        </w:rPr>
        <w:t>Республика Коми, Сыктывдинский район, с.Зеленец</w:t>
      </w:r>
    </w:p>
    <w:p w14:paraId="461FAF75" w14:textId="77777777" w:rsidR="00933016" w:rsidRPr="001705E6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705E6">
        <w:rPr>
          <w:rFonts w:ascii="Times New Roman" w:eastAsia="Calibri" w:hAnsi="Times New Roman" w:cs="Times New Roman"/>
          <w:sz w:val="23"/>
          <w:szCs w:val="23"/>
        </w:rPr>
        <w:t xml:space="preserve">Коми Республика, Сыктывдін район, Зеленеч </w:t>
      </w:r>
      <w:proofErr w:type="gramStart"/>
      <w:r w:rsidRPr="001705E6">
        <w:rPr>
          <w:rFonts w:ascii="Times New Roman" w:eastAsia="Calibri" w:hAnsi="Times New Roman" w:cs="Times New Roman"/>
          <w:sz w:val="23"/>
          <w:szCs w:val="23"/>
        </w:rPr>
        <w:t>с</w:t>
      </w:r>
      <w:proofErr w:type="gramEnd"/>
      <w:r w:rsidRPr="001705E6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3442BE0" w14:textId="77777777" w:rsidR="004E4603" w:rsidRPr="001705E6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shd w:val="clear" w:color="auto" w:fill="FFFFFF"/>
          <w:lang w:eastAsia="ar-SA"/>
        </w:rPr>
      </w:pPr>
    </w:p>
    <w:p w14:paraId="0881FB25" w14:textId="77777777" w:rsidR="005B53BB" w:rsidRPr="001705E6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О внесении изменений в постановление администрации </w:t>
      </w:r>
    </w:p>
    <w:p w14:paraId="7D8C6E97" w14:textId="31884420" w:rsidR="005B53BB" w:rsidRPr="001705E6" w:rsidRDefault="005B53BB" w:rsidP="00614AD6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от </w:t>
      </w:r>
      <w:r w:rsidR="00614AD6"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19 апреля</w:t>
      </w:r>
      <w:r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202</w:t>
      </w:r>
      <w:r w:rsidR="00614AD6"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3</w:t>
      </w:r>
      <w:r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г. № </w:t>
      </w:r>
      <w:r w:rsidR="00614AD6"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4</w:t>
      </w:r>
      <w:r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/</w:t>
      </w:r>
      <w:r w:rsidR="00614AD6"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5</w:t>
      </w:r>
      <w:r w:rsidR="00C750AF"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5</w:t>
      </w:r>
      <w:r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«</w:t>
      </w:r>
      <w:r w:rsidR="00614AD6" w:rsidRPr="001705E6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Об утверждении муниципальной программы </w:t>
      </w:r>
      <w:r w:rsidR="00614AD6" w:rsidRPr="001705E6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«</w:t>
      </w:r>
      <w:r w:rsidR="00614AD6" w:rsidRPr="001705E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Семья» муниципального образования сельского поселения «Зеленец» на 2023-2025 гг.»</w:t>
      </w:r>
    </w:p>
    <w:p w14:paraId="0F7B80E2" w14:textId="77777777" w:rsidR="005B53BB" w:rsidRPr="001705E6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100C127B" w14:textId="77777777" w:rsidR="005B53BB" w:rsidRPr="001705E6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proofErr w:type="gramStart"/>
      <w:r w:rsidRPr="001705E6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Во исполнение статьи 14 Федерального закона Российской Федерации от 06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решения Совета сельского поселения «Зеленец» от 15 марта 2023 года № V/25-01 «Об утверждении Правил благоустройства территории муниципального образования сельского поселения «Зеленец», решения Совета сельского поселения «Зеленец» от 18 апреля 2023</w:t>
      </w:r>
      <w:proofErr w:type="gramEnd"/>
      <w:r w:rsidRPr="001705E6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года № </w:t>
      </w:r>
      <w:r w:rsidRPr="001705E6">
        <w:rPr>
          <w:rFonts w:ascii="Times New Roman" w:eastAsia="Times New Roman" w:hAnsi="Times New Roman"/>
          <w:spacing w:val="1"/>
          <w:sz w:val="23"/>
          <w:szCs w:val="23"/>
          <w:lang w:val="en-US" w:eastAsia="ru-RU"/>
        </w:rPr>
        <w:t>V</w:t>
      </w:r>
      <w:r w:rsidRPr="001705E6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/26-01 «О внесении изменений в решение Совета сельского поселения «Зеленец» от 23 декабря 2022 года № V/22-02 «О бюджете муниципального образования сельского поселения «Зеленец» на 2023 год и плановый период 2024-2025 годов», администрация сельского поселения «Зеленец» </w:t>
      </w:r>
    </w:p>
    <w:p w14:paraId="3A2DAAE3" w14:textId="77777777" w:rsidR="005B53BB" w:rsidRPr="001705E6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</w:pPr>
      <w:r w:rsidRPr="001705E6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постановляет:</w:t>
      </w:r>
    </w:p>
    <w:p w14:paraId="050194C5" w14:textId="77777777" w:rsidR="005B53BB" w:rsidRPr="001705E6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3832BFD6" w:rsidR="005B53BB" w:rsidRPr="001705E6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  <w:r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614AD6"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19 апреля 2023</w:t>
      </w:r>
      <w:r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года № </w:t>
      </w:r>
      <w:r w:rsidR="00614AD6"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4</w:t>
      </w:r>
      <w:r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/</w:t>
      </w:r>
      <w:r w:rsidR="00614AD6"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51</w:t>
      </w:r>
      <w:r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«Об утверждении муниципальной программы </w:t>
      </w:r>
      <w:r w:rsidR="00614AD6"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«Семья»</w:t>
      </w:r>
      <w:r w:rsidRPr="001705E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муниципального образования сельского поселения «Зеленец» на 2023 – 2025 гг.</w:t>
      </w:r>
      <w:r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»:</w:t>
      </w:r>
    </w:p>
    <w:p w14:paraId="478DB7D0" w14:textId="4F219D76" w:rsidR="00614AD6" w:rsidRPr="001705E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  <w:r w:rsidRPr="001705E6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1.1. Позицию 7 Паспорта муниципальной программы изложить в следующей редакции:</w:t>
      </w:r>
    </w:p>
    <w:tbl>
      <w:tblPr>
        <w:tblW w:w="4963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653"/>
      </w:tblGrid>
      <w:tr w:rsidR="00614AD6" w:rsidRPr="001705E6" w14:paraId="54B2F78B" w14:textId="77777777" w:rsidTr="00DE71B7"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9A7F" w14:textId="77777777" w:rsidR="00614AD6" w:rsidRPr="001705E6" w:rsidRDefault="00614AD6" w:rsidP="0061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CDD5" w14:textId="76363ED2" w:rsidR="00614AD6" w:rsidRPr="001705E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C750AF"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60 455,18 </w:t>
            </w:r>
            <w:r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руб., в том числе по годам:</w:t>
            </w:r>
          </w:p>
          <w:p w14:paraId="556E3A19" w14:textId="2C719387" w:rsidR="00614AD6" w:rsidRPr="001705E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</w:t>
            </w:r>
            <w:r w:rsidR="00C750AF"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60 455,18</w:t>
            </w:r>
            <w:r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  <w:p w14:paraId="00B7A322" w14:textId="54693205" w:rsidR="00614AD6" w:rsidRPr="001705E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 год –0 руб.</w:t>
            </w:r>
          </w:p>
          <w:p w14:paraId="1FF9FEDC" w14:textId="65C1BC7F" w:rsidR="00614AD6" w:rsidRPr="001705E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05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 год – 0 руб.</w:t>
            </w:r>
          </w:p>
        </w:tc>
      </w:tr>
    </w:tbl>
    <w:p w14:paraId="0DF658DA" w14:textId="0CA17317" w:rsidR="00614AD6" w:rsidRPr="001705E6" w:rsidRDefault="00614AD6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14:paraId="5D1E310E" w14:textId="70CF689F" w:rsidR="005B53BB" w:rsidRPr="001705E6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3"/>
          <w:szCs w:val="23"/>
        </w:rPr>
      </w:pPr>
      <w:r w:rsidRPr="001705E6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1.</w:t>
      </w:r>
      <w:r w:rsidR="00614AD6" w:rsidRPr="001705E6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</w:t>
      </w:r>
      <w:r w:rsidRPr="001705E6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. Раздел 2 изложить в следующей редакции: </w:t>
      </w:r>
    </w:p>
    <w:p w14:paraId="1D5B757F" w14:textId="77777777" w:rsidR="00614AD6" w:rsidRPr="001705E6" w:rsidRDefault="005B53BB" w:rsidP="00614AD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1705E6">
        <w:rPr>
          <w:rFonts w:ascii="Times New Roman" w:hAnsi="Times New Roman"/>
          <w:b/>
          <w:sz w:val="23"/>
          <w:szCs w:val="23"/>
        </w:rPr>
        <w:t>«</w:t>
      </w:r>
      <w:r w:rsidR="00614AD6" w:rsidRPr="001705E6">
        <w:rPr>
          <w:rFonts w:ascii="Times New Roman" w:hAnsi="Times New Roman"/>
          <w:b/>
          <w:sz w:val="23"/>
          <w:szCs w:val="23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275"/>
        <w:gridCol w:w="851"/>
        <w:gridCol w:w="851"/>
      </w:tblGrid>
      <w:tr w:rsidR="00614AD6" w:rsidRPr="001705E6" w14:paraId="4500896E" w14:textId="77777777" w:rsidTr="00DE71B7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754E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14:paraId="0C407AC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411B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945D" w14:textId="3B88B41A" w:rsidR="00614AD6" w:rsidRPr="001705E6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Годы/руб.</w:t>
            </w:r>
          </w:p>
        </w:tc>
      </w:tr>
      <w:tr w:rsidR="00614AD6" w:rsidRPr="001705E6" w14:paraId="0388D43A" w14:textId="77777777" w:rsidTr="00614AD6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50C0A" w14:textId="77777777" w:rsidR="00614AD6" w:rsidRPr="001705E6" w:rsidRDefault="00614AD6" w:rsidP="00DE71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BB5A0" w14:textId="77777777" w:rsidR="00614AD6" w:rsidRPr="001705E6" w:rsidRDefault="00614AD6" w:rsidP="00DE71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3745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F9431A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1EF5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2025</w:t>
            </w:r>
          </w:p>
        </w:tc>
      </w:tr>
      <w:tr w:rsidR="00614AD6" w:rsidRPr="001705E6" w14:paraId="20B1467B" w14:textId="77777777" w:rsidTr="00614AD6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257D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09160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C12D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10C91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61B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</w:tr>
      <w:tr w:rsidR="00614AD6" w:rsidRPr="001705E6" w14:paraId="7A2B6304" w14:textId="77777777" w:rsidTr="00DE71B7">
        <w:trPr>
          <w:cantSplit/>
          <w:trHeight w:val="40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9B7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Раздел I</w:t>
            </w:r>
          </w:p>
          <w:p w14:paraId="5BFE530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Содействие в проявлении творческой активности населения, развитие культуры.</w:t>
            </w:r>
          </w:p>
          <w:p w14:paraId="46C4778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Поддержка семьи и молодежных инициатив.</w:t>
            </w:r>
          </w:p>
        </w:tc>
      </w:tr>
      <w:tr w:rsidR="00614AD6" w:rsidRPr="001705E6" w14:paraId="1578AB80" w14:textId="77777777" w:rsidTr="00614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287E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3FDFC" w14:textId="77777777" w:rsidR="00614AD6" w:rsidRPr="001705E6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3"/>
                <w:szCs w:val="23"/>
                <w:lang w:eastAsia="ar-SA"/>
              </w:rPr>
            </w:pPr>
            <w:r w:rsidRPr="001705E6">
              <w:rPr>
                <w:rFonts w:ascii="Times New Roman" w:eastAsia="Times New Roman" w:hAnsi="Times New Roman" w:cs="Calibri"/>
                <w:sz w:val="23"/>
                <w:szCs w:val="23"/>
                <w:lang w:eastAsia="ar-SA"/>
              </w:rPr>
              <w:t>Приобретение для активных участников общественных движений, культурно-массовых мероприятий  билетов на концентры, театральные постановки</w:t>
            </w:r>
            <w:r w:rsidRPr="001705E6">
              <w:rPr>
                <w:rFonts w:ascii="Times New Roman" w:eastAsia="Times New Roman" w:hAnsi="Times New Roman" w:cs="Calibri"/>
                <w:sz w:val="23"/>
                <w:szCs w:val="23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836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45AC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C9BFB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5BEF8827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813A2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084A" w14:textId="77777777" w:rsidR="00614AD6" w:rsidRPr="001705E6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3"/>
                <w:szCs w:val="23"/>
                <w:lang w:eastAsia="ar-SA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E1F1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092F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32BAD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2EF28077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7273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779A3" w14:textId="77777777" w:rsidR="00614AD6" w:rsidRPr="001705E6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3"/>
                <w:szCs w:val="23"/>
                <w:lang w:eastAsia="ar-SA"/>
              </w:rPr>
            </w:pPr>
            <w:r w:rsidRPr="001705E6">
              <w:rPr>
                <w:rFonts w:ascii="Times New Roman" w:eastAsia="Times New Roman" w:hAnsi="Times New Roman" w:cs="Calibri"/>
                <w:sz w:val="23"/>
                <w:szCs w:val="23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23F3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F715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AB6946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3EDC43A2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72D7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939ED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Традиционное мероприятие, посвященное Дню семьи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901C4E" w14:textId="3F855296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3 000,73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AA2B2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04FA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19E5BF39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B7DC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B4687F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9B4FD" w14:textId="124E80FE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925,00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13AA1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321D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2CEA798A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5B531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64D738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Праздничные гулянья (прокат и подвоз аппаратуры)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13E96" w14:textId="5EA5A959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ABFA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76E96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72B97EC2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5F2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60219B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Организация праздничного мероприятия «День села»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5E0E6" w14:textId="78BE2239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14 503,92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183C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8B01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7D4A994D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0CF16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556D83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Содействие в организации юбилейных мероприятий учреждений, организаций села и населенных пунктов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7115B" w14:textId="1A61BDAC" w:rsidR="00614AD6" w:rsidRPr="001705E6" w:rsidRDefault="00C750AF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="00614AD6" w:rsidRPr="001705E6">
              <w:rPr>
                <w:rFonts w:ascii="Times New Roman" w:hAnsi="Times New Roman"/>
                <w:bCs/>
                <w:sz w:val="23"/>
                <w:szCs w:val="23"/>
              </w:rPr>
              <w:t>0 000,00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1B6F0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3D7C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077B6331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E82A4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AA3FF5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Оказание поддержки поэтическому клубу «Стихия»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57E5" w14:textId="5CEC5D98" w:rsidR="00614AD6" w:rsidRPr="001705E6" w:rsidRDefault="00C750AF" w:rsidP="00C75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  <w:r w:rsidR="00614AD6" w:rsidRPr="001705E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975</w:t>
            </w:r>
            <w:r w:rsidR="00614AD6" w:rsidRPr="001705E6">
              <w:rPr>
                <w:rFonts w:ascii="Times New Roman" w:hAnsi="Times New Roman"/>
                <w:bCs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CC761" w14:textId="48A927E8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9B040" w14:textId="1C6CCFDE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60FA37F7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98FD6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E57DF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Традиционное мероприятие, посвященное Дню матери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DDEBA" w14:textId="1D86E627" w:rsidR="00614AD6" w:rsidRPr="001705E6" w:rsidRDefault="00C750AF" w:rsidP="00C75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661C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30CA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3430E794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1E6E1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433202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Поощрение отличников - учащихся МБОУ «Зеленецкая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262B3" w14:textId="1107F960" w:rsidR="00614AD6" w:rsidRPr="001705E6" w:rsidRDefault="00C750AF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1 350</w:t>
            </w:r>
            <w:r w:rsidR="00614AD6" w:rsidRPr="001705E6">
              <w:rPr>
                <w:rFonts w:ascii="Times New Roman" w:hAnsi="Times New Roman"/>
                <w:bCs/>
                <w:sz w:val="23"/>
                <w:szCs w:val="23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13D0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FF54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1A4CCEAF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30E33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AB07F" w14:textId="77777777" w:rsidR="00614AD6" w:rsidRPr="001705E6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1705E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Поощрение несовершеннолетних работников за добросовестный труд по итогам работы в «Отряде главы» (вручение благодарностей)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1ABF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FD70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A459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2CBE56B7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A1C9B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46FE2" w14:textId="77777777" w:rsidR="00614AD6" w:rsidRPr="001705E6" w:rsidRDefault="00614AD6" w:rsidP="00DE71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Итого по первому разделу: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B5A" w14:textId="70BE991E" w:rsidR="00614AD6" w:rsidRPr="001705E6" w:rsidRDefault="00C750AF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39 754,65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F714E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9A726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1A2A4B9C" w14:textId="77777777" w:rsidTr="00DE71B7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1724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Раздел II</w:t>
            </w:r>
          </w:p>
          <w:p w14:paraId="41594EA1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 xml:space="preserve">Поддержка граждан старшего поколения, инвалидов </w:t>
            </w:r>
          </w:p>
        </w:tc>
      </w:tr>
      <w:tr w:rsidR="00614AD6" w:rsidRPr="001705E6" w14:paraId="7CC1D6CA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3605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393B8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Проведение работы по разъяснению законов и разъяснение вопросов, касающихся жизнедеятельности ветеранов и граждан старшего поколения (встреча с работниками администрации, ГУ РК ЦСЗН, Пенсионного фонда и т.д.)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B07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CAF0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38BAA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2525A094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A020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C0608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2BB0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8BD0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98BD2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6C0DE061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E047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E13A2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 xml:space="preserve">Приглашение членов Совета ветеранов и инвалидов, Женсовета и МОД «Коми </w:t>
            </w:r>
            <w:proofErr w:type="spellStart"/>
            <w:r w:rsidRPr="001705E6">
              <w:rPr>
                <w:rFonts w:ascii="Times New Roman" w:hAnsi="Times New Roman"/>
                <w:sz w:val="23"/>
                <w:szCs w:val="23"/>
              </w:rPr>
              <w:t>войтыр</w:t>
            </w:r>
            <w:proofErr w:type="spellEnd"/>
            <w:r w:rsidRPr="001705E6">
              <w:rPr>
                <w:rFonts w:ascii="Times New Roman" w:hAnsi="Times New Roman"/>
                <w:sz w:val="23"/>
                <w:szCs w:val="23"/>
              </w:rPr>
              <w:t>», представителей других общественных движений и организаций 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15DB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72A8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87712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36A47428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65CDF1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9A7530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 xml:space="preserve">Привлечение членов Совета ветеранов к проведению на административной территории поселения опросов, </w:t>
            </w:r>
            <w:r w:rsidRPr="001705E6">
              <w:rPr>
                <w:rFonts w:ascii="Times New Roman" w:hAnsi="Times New Roman"/>
                <w:sz w:val="23"/>
                <w:szCs w:val="23"/>
              </w:rPr>
              <w:lastRenderedPageBreak/>
              <w:t>анкетирования и мониторингов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75CD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49F84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6046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0FBC5CB9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0902F6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lastRenderedPageBreak/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38ECE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Участие членов Совета ветеранов и Женсовета в работе комиссий при администрации сельского поселения «Зеленец»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3CD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CF34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E99BA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02C0E3D1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3DEB4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7632D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762A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5E14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1421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614AD6" w:rsidRPr="001705E6" w14:paraId="5558FA5B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F087A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079B1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6759" w14:textId="189E72FF" w:rsidR="00614AD6" w:rsidRPr="001705E6" w:rsidRDefault="00C750AF" w:rsidP="00C75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629</w:t>
            </w:r>
            <w:r w:rsidR="00614AD6" w:rsidRPr="001705E6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98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E987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C3D50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44732A60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895C2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A16857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Чествование юбиляров 75 лет, 80 лет, 85 лет, 90 лет, 95 лет,100 лет и т.д. Вручение открыток и ценных подарков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2C841B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D4E9FB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212AC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195D65C1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2D780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8632FAA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554A" w14:textId="6F0ED74F" w:rsidR="00614AD6" w:rsidRPr="001705E6" w:rsidRDefault="00614AD6" w:rsidP="00C75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1 5</w:t>
            </w:r>
            <w:r w:rsidR="00C750AF" w:rsidRPr="001705E6">
              <w:rPr>
                <w:rFonts w:ascii="Times New Roman" w:hAnsi="Times New Roman"/>
                <w:bCs/>
                <w:sz w:val="23"/>
                <w:szCs w:val="23"/>
              </w:rPr>
              <w:t>81</w:t>
            </w: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="00C750AF" w:rsidRPr="001705E6">
              <w:rPr>
                <w:rFonts w:ascii="Times New Roman" w:hAnsi="Times New Roman"/>
                <w:bCs/>
                <w:sz w:val="23"/>
                <w:szCs w:val="23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CCB22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9834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020EB1D6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54A5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2F8C3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35A8" w14:textId="6FFF621E" w:rsidR="00614AD6" w:rsidRPr="001705E6" w:rsidRDefault="00614AD6" w:rsidP="00C75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1 </w:t>
            </w:r>
            <w:r w:rsidR="00C750AF" w:rsidRPr="001705E6">
              <w:rPr>
                <w:rFonts w:ascii="Times New Roman" w:hAnsi="Times New Roman"/>
                <w:bCs/>
                <w:sz w:val="23"/>
                <w:szCs w:val="23"/>
              </w:rPr>
              <w:t>387</w:t>
            </w: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="00C750AF" w:rsidRPr="001705E6">
              <w:rPr>
                <w:rFonts w:ascii="Times New Roman" w:hAnsi="Times New Roman"/>
                <w:bCs/>
                <w:sz w:val="23"/>
                <w:szCs w:val="23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43E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A2AE8A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46BCBE00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9201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08818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CF9D" w14:textId="30026335" w:rsidR="00614AD6" w:rsidRPr="001705E6" w:rsidRDefault="00C750AF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16688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4E4D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66B84F5C" w14:textId="77777777" w:rsidTr="00614AD6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D1E1B6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CE98A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Размещение материала о деятельности общественных движений на сайте поселения и информационных стендах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5EF2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80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64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235A5BE1" w14:textId="77777777" w:rsidTr="00614AD6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C96266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0C510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0C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3C1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FA2D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2C63096F" w14:textId="77777777" w:rsidTr="00614AD6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837DC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E5B72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Охват комплексными медицинскими осмотрами инвалидов и участников Великой Отечественной войны, вдов погибших и умерших инвалидов и участников Великой Отечественной  войны и тружеников тыла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F7C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A068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850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386B2DBE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E6DAF0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E0993B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F4F" w14:textId="22951E66" w:rsidR="00614AD6" w:rsidRPr="001705E6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4 742,44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B5005A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B5C2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1B2B3350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2C6A93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57737C" w14:textId="77777777" w:rsidR="00614AD6" w:rsidRPr="001705E6" w:rsidRDefault="00614AD6" w:rsidP="00DE71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Ремонт и покраска памятника погибшим воинам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C39" w14:textId="4DBBF27D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8 502,00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0B5ED3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18F82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4CFBF71F" w14:textId="77777777" w:rsidTr="00614AD6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5C49AB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831B81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23C4" w14:textId="3E529188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1 676,50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3FF25E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1C3A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5A75777B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443A1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75C91E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Праздничный салют в День Победы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5D70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5A6DDA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507B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5CD1200F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758385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437D5B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 xml:space="preserve">Поздравление с днем рождения участника Великой Отечественной войны, тружеников тыла, жителя блокадного Ленинграда и вдов погибших (умерших) участников и инвалидов </w:t>
            </w:r>
            <w:proofErr w:type="spellStart"/>
            <w:r w:rsidRPr="001705E6">
              <w:rPr>
                <w:rFonts w:ascii="Times New Roman" w:hAnsi="Times New Roman"/>
                <w:sz w:val="23"/>
                <w:szCs w:val="23"/>
              </w:rPr>
              <w:t>ВОв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BF16" w14:textId="4A8366F9" w:rsidR="00614AD6" w:rsidRPr="001705E6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465,00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B7D3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F9919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2B2D67B8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C7C05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A5166" w14:textId="77777777" w:rsidR="00614AD6" w:rsidRPr="001705E6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sz w:val="23"/>
                <w:szCs w:val="23"/>
              </w:rPr>
              <w:t xml:space="preserve">Чествование Почетных жителей сельского поселения «Зеленец», утвержденных постановлением администрации сельского поселения «Зеленец»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BB3" w14:textId="00A5EC5F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1 715,00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91D1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E6ECC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4F53D4DE" w14:textId="77777777" w:rsidTr="00614AD6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0CEFF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1B540" w14:textId="77777777" w:rsidR="00614AD6" w:rsidRPr="001705E6" w:rsidRDefault="00614AD6" w:rsidP="00DE71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Всего по второму разделу: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1CF6" w14:textId="4F8CC772" w:rsidR="00614AD6" w:rsidRPr="001705E6" w:rsidRDefault="00614AD6" w:rsidP="00C75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C750AF"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0</w:t>
            </w: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 </w:t>
            </w:r>
            <w:r w:rsidR="00C750AF"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7</w:t>
            </w: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00,</w:t>
            </w:r>
            <w:r w:rsidR="00C750AF"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AD280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A36C4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bCs/>
                <w:sz w:val="23"/>
                <w:szCs w:val="23"/>
              </w:rPr>
              <w:t>0</w:t>
            </w:r>
          </w:p>
        </w:tc>
      </w:tr>
      <w:tr w:rsidR="00614AD6" w:rsidRPr="001705E6" w14:paraId="151933D8" w14:textId="77777777" w:rsidTr="00614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A366B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684AF" w14:textId="77777777" w:rsidR="00614AD6" w:rsidRPr="001705E6" w:rsidRDefault="00614AD6" w:rsidP="00DE71B7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Итого из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F0EF" w14:textId="6BE206D1" w:rsidR="00614AD6" w:rsidRPr="001705E6" w:rsidRDefault="00C750AF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60 455,18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3E5FA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A89E7" w14:textId="77777777" w:rsidR="00614AD6" w:rsidRPr="001705E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705E6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</w:tr>
    </w:tbl>
    <w:p w14:paraId="6A6C938D" w14:textId="7E51A608" w:rsidR="005B53BB" w:rsidRPr="001705E6" w:rsidRDefault="005B53BB" w:rsidP="00614AD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66F0DDA5" w14:textId="77777777" w:rsidR="00614AD6" w:rsidRPr="001705E6" w:rsidRDefault="00614AD6" w:rsidP="00614AD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705E6">
        <w:rPr>
          <w:rFonts w:ascii="Times New Roman" w:hAnsi="Times New Roman"/>
          <w:sz w:val="23"/>
          <w:szCs w:val="23"/>
        </w:rPr>
        <w:t xml:space="preserve">1.3. Раздел 3 изложить в следующей редакции: </w:t>
      </w:r>
    </w:p>
    <w:p w14:paraId="79D13D7F" w14:textId="5A1568BE" w:rsidR="00614AD6" w:rsidRPr="001705E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1705E6">
        <w:rPr>
          <w:rFonts w:ascii="Times New Roman" w:hAnsi="Times New Roman"/>
          <w:b/>
          <w:sz w:val="23"/>
          <w:szCs w:val="23"/>
        </w:rPr>
        <w:t>«3. Ресурсное обеспечение</w:t>
      </w:r>
    </w:p>
    <w:p w14:paraId="6B3138FB" w14:textId="0F0A95A2" w:rsidR="00614AD6" w:rsidRPr="001705E6" w:rsidRDefault="00614AD6" w:rsidP="00614AD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1705E6">
        <w:rPr>
          <w:rFonts w:ascii="Times New Roman" w:hAnsi="Times New Roman"/>
          <w:sz w:val="23"/>
          <w:szCs w:val="23"/>
        </w:rPr>
        <w:t xml:space="preserve">На реализацию муниципальной Программы на 2023-2025 гг. потребуется </w:t>
      </w:r>
      <w:r w:rsidR="00C750AF" w:rsidRPr="001705E6">
        <w:rPr>
          <w:rFonts w:ascii="Times New Roman" w:hAnsi="Times New Roman"/>
          <w:sz w:val="23"/>
          <w:szCs w:val="23"/>
        </w:rPr>
        <w:t>60 455,18</w:t>
      </w:r>
      <w:r w:rsidRPr="001705E6">
        <w:rPr>
          <w:rFonts w:ascii="Times New Roman" w:hAnsi="Times New Roman"/>
          <w:sz w:val="23"/>
          <w:szCs w:val="23"/>
        </w:rPr>
        <w:t xml:space="preserve"> 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14:paraId="65F0EE3F" w14:textId="77777777" w:rsidR="00614AD6" w:rsidRPr="001705E6" w:rsidRDefault="00614AD6" w:rsidP="00614AD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3BCB116" w14:textId="31CC9DA1" w:rsidR="005B53BB" w:rsidRPr="001705E6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705E6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1705E6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1705E6">
        <w:rPr>
          <w:rFonts w:ascii="Times New Roman" w:hAnsi="Times New Roman"/>
          <w:sz w:val="23"/>
          <w:szCs w:val="23"/>
        </w:rPr>
        <w:t xml:space="preserve"> исполнением постановления возложить на </w:t>
      </w:r>
      <w:proofErr w:type="spellStart"/>
      <w:r w:rsidR="00614AD6" w:rsidRPr="001705E6">
        <w:rPr>
          <w:rFonts w:ascii="Times New Roman" w:hAnsi="Times New Roman"/>
          <w:sz w:val="23"/>
          <w:szCs w:val="23"/>
        </w:rPr>
        <w:t>Плетеневу</w:t>
      </w:r>
      <w:proofErr w:type="spellEnd"/>
      <w:r w:rsidR="00614AD6" w:rsidRPr="001705E6">
        <w:rPr>
          <w:rFonts w:ascii="Times New Roman" w:hAnsi="Times New Roman"/>
          <w:sz w:val="23"/>
          <w:szCs w:val="23"/>
        </w:rPr>
        <w:t xml:space="preserve"> Ю.А.</w:t>
      </w:r>
      <w:r w:rsidRPr="001705E6">
        <w:rPr>
          <w:rFonts w:ascii="Times New Roman" w:hAnsi="Times New Roman"/>
          <w:sz w:val="23"/>
          <w:szCs w:val="23"/>
        </w:rPr>
        <w:t xml:space="preserve">, </w:t>
      </w:r>
      <w:r w:rsidR="00614AD6" w:rsidRPr="001705E6">
        <w:rPr>
          <w:rFonts w:ascii="Times New Roman" w:hAnsi="Times New Roman"/>
          <w:sz w:val="23"/>
          <w:szCs w:val="23"/>
        </w:rPr>
        <w:t xml:space="preserve">ведущего </w:t>
      </w:r>
      <w:r w:rsidRPr="001705E6">
        <w:rPr>
          <w:rFonts w:ascii="Times New Roman" w:hAnsi="Times New Roman"/>
          <w:sz w:val="23"/>
          <w:szCs w:val="23"/>
        </w:rPr>
        <w:t>специалиста администрации.</w:t>
      </w:r>
    </w:p>
    <w:p w14:paraId="18E2699E" w14:textId="77777777" w:rsidR="005B53BB" w:rsidRPr="001705E6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40FA96F5" w14:textId="77777777" w:rsidR="005B53BB" w:rsidRPr="001705E6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705E6">
        <w:rPr>
          <w:rFonts w:ascii="Times New Roman" w:hAnsi="Times New Roman"/>
          <w:sz w:val="23"/>
          <w:szCs w:val="23"/>
        </w:rPr>
        <w:t>3. Постановление вступает в силу со дня принятия.</w:t>
      </w:r>
    </w:p>
    <w:p w14:paraId="687E168F" w14:textId="77777777" w:rsidR="005B53BB" w:rsidRPr="001705E6" w:rsidRDefault="005B53BB" w:rsidP="005B53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83458D2" w14:textId="77777777" w:rsidR="005B53BB" w:rsidRPr="001705E6" w:rsidRDefault="005B53BB" w:rsidP="005B53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B404735" w14:textId="77777777" w:rsidR="005B53BB" w:rsidRPr="001705E6" w:rsidRDefault="005B53BB" w:rsidP="005B53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1705E6" w14:paraId="3CEB3E56" w14:textId="77777777" w:rsidTr="005B53BB">
        <w:tc>
          <w:tcPr>
            <w:tcW w:w="4785" w:type="dxa"/>
          </w:tcPr>
          <w:p w14:paraId="0BF88AB5" w14:textId="77777777" w:rsidR="005B53BB" w:rsidRPr="001705E6" w:rsidRDefault="005B53BB" w:rsidP="00DE71B7">
            <w:pPr>
              <w:jc w:val="both"/>
              <w:rPr>
                <w:sz w:val="23"/>
                <w:szCs w:val="23"/>
              </w:rPr>
            </w:pPr>
            <w:r w:rsidRPr="001705E6">
              <w:rPr>
                <w:sz w:val="23"/>
                <w:szCs w:val="23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1705E6" w:rsidRDefault="005B53BB" w:rsidP="00DE71B7">
            <w:pPr>
              <w:jc w:val="right"/>
              <w:rPr>
                <w:sz w:val="23"/>
                <w:szCs w:val="23"/>
              </w:rPr>
            </w:pPr>
            <w:r w:rsidRPr="001705E6">
              <w:rPr>
                <w:sz w:val="23"/>
                <w:szCs w:val="23"/>
              </w:rPr>
              <w:t>А.С. Якунин</w:t>
            </w:r>
          </w:p>
        </w:tc>
      </w:tr>
    </w:tbl>
    <w:p w14:paraId="27C34B40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  <w:bookmarkStart w:id="0" w:name="_GoBack"/>
      <w:bookmarkEnd w:id="0"/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1705E6"/>
    <w:rsid w:val="004E4603"/>
    <w:rsid w:val="00570624"/>
    <w:rsid w:val="005B53BB"/>
    <w:rsid w:val="00614AD6"/>
    <w:rsid w:val="006305D3"/>
    <w:rsid w:val="007E0AFC"/>
    <w:rsid w:val="00921ED5"/>
    <w:rsid w:val="00927066"/>
    <w:rsid w:val="00933016"/>
    <w:rsid w:val="00973266"/>
    <w:rsid w:val="00A91235"/>
    <w:rsid w:val="00B10A66"/>
    <w:rsid w:val="00C2489D"/>
    <w:rsid w:val="00C750AF"/>
    <w:rsid w:val="00DA3FFD"/>
    <w:rsid w:val="00DB76FE"/>
    <w:rsid w:val="00DD7101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11</cp:revision>
  <cp:lastPrinted>2024-02-05T06:54:00Z</cp:lastPrinted>
  <dcterms:created xsi:type="dcterms:W3CDTF">2023-07-12T09:15:00Z</dcterms:created>
  <dcterms:modified xsi:type="dcterms:W3CDTF">2024-02-05T06:54:00Z</dcterms:modified>
</cp:coreProperties>
</file>