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154DC7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154D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154DC7">
        <w:tc>
          <w:tcPr>
            <w:tcW w:w="5070" w:type="dxa"/>
          </w:tcPr>
          <w:p w14:paraId="5ADF8666" w14:textId="76D32E86" w:rsidR="00933016" w:rsidRPr="00273711" w:rsidRDefault="0005258A" w:rsidP="0053412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</w:t>
            </w:r>
            <w:r w:rsidR="00713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декабря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534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5026B526" w:rsidR="00933016" w:rsidRPr="00273711" w:rsidRDefault="00933016" w:rsidP="0005258A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B87E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713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713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0525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91</w:t>
            </w:r>
            <w:bookmarkStart w:id="0" w:name="_GoBack"/>
            <w:bookmarkEnd w:id="0"/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4F62AECB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приложение к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постановлени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ю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сельского поселения «Зеленец»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от 31 января 2024 г. № 1/19 «Об утверждении муниципальной программы «Семья» муниципального образования сельского поселения «Зеленец» </w:t>
      </w:r>
    </w:p>
    <w:p w14:paraId="0F7B80E2" w14:textId="17D86E8D" w:rsidR="005B53BB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2024-2026 гг.»</w:t>
      </w:r>
    </w:p>
    <w:p w14:paraId="25DEA5A9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1F6B5A04" w:rsidR="005B53BB" w:rsidRPr="00A227AF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статьи 14 Федерального закона 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67B25737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="00614AD6" w:rsidRP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«Семья»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сельского поселения «Зеленец» на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6483423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BAB98D2" w14:textId="0AA49B6F" w:rsidR="0005258A" w:rsidRDefault="0005258A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1.1. Пункт 7 Паспорта муниципальной программы изложить в следующей редакции:</w:t>
      </w:r>
    </w:p>
    <w:p w14:paraId="27CB8D12" w14:textId="50BDB5A5" w:rsidR="0005258A" w:rsidRDefault="0005258A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4963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653"/>
      </w:tblGrid>
      <w:tr w:rsidR="0005258A" w:rsidRPr="00B16180" w14:paraId="602F3F66" w14:textId="77777777" w:rsidTr="00EA40BE"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D178" w14:textId="77777777" w:rsidR="0005258A" w:rsidRPr="00B16180" w:rsidRDefault="0005258A" w:rsidP="00EA4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D41E" w14:textId="42E4E3E4" w:rsidR="0005258A" w:rsidRPr="00DA5F18" w:rsidRDefault="0005258A" w:rsidP="00EA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общий объем финансовых средств, необходимых для реализации Программы</w:t>
            </w:r>
            <w:r w:rsidRPr="00625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составляет </w:t>
            </w: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142959,55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14:paraId="2AB54F7A" w14:textId="352A821F" w:rsidR="0005258A" w:rsidRPr="00DA5F18" w:rsidRDefault="0005258A" w:rsidP="00EA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142959,55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14:paraId="08B6C73A" w14:textId="30529A81" w:rsidR="0005258A" w:rsidRPr="00DA5F18" w:rsidRDefault="0005258A" w:rsidP="00EA4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  <w:p w14:paraId="6705AF9E" w14:textId="4B2D66BF" w:rsidR="0005258A" w:rsidRPr="00B16180" w:rsidRDefault="0005258A" w:rsidP="00052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  руб.</w:t>
            </w:r>
          </w:p>
        </w:tc>
      </w:tr>
    </w:tbl>
    <w:p w14:paraId="18B9DE98" w14:textId="77777777" w:rsidR="0005258A" w:rsidRDefault="0005258A" w:rsidP="000525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1E310E" w14:textId="0E1F598A" w:rsidR="005B53BB" w:rsidRPr="005B53BB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05258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6D3D413E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2FC42B" w14:textId="77777777" w:rsidR="0053412A" w:rsidRPr="0053412A" w:rsidRDefault="005B53BB" w:rsidP="0053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t>«</w:t>
      </w:r>
      <w:r w:rsidR="0053412A" w:rsidRPr="0053412A">
        <w:rPr>
          <w:rFonts w:ascii="Times New Roman" w:eastAsia="Calibri" w:hAnsi="Times New Roman" w:cs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709"/>
        <w:gridCol w:w="709"/>
      </w:tblGrid>
      <w:tr w:rsidR="0053412A" w:rsidRPr="0053412A" w14:paraId="04E68CAA" w14:textId="77777777" w:rsidTr="00154DC7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38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4AE98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DF9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FAB" w14:textId="7345D1A8" w:rsidR="0053412A" w:rsidRPr="0053412A" w:rsidRDefault="0053412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Годы/ руб.</w:t>
            </w:r>
          </w:p>
        </w:tc>
      </w:tr>
      <w:tr w:rsidR="0053412A" w:rsidRPr="0053412A" w14:paraId="5059ABCD" w14:textId="77777777" w:rsidTr="002D6F43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F0B8F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B3076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EEB9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8100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C1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3412A" w:rsidRPr="0053412A" w14:paraId="159BD60A" w14:textId="77777777" w:rsidTr="002D6F43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0B3A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37B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A74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4E8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55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53412A" w:rsidRPr="0053412A" w14:paraId="60D06E61" w14:textId="77777777" w:rsidTr="00154DC7">
        <w:trPr>
          <w:cantSplit/>
          <w:trHeight w:val="40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07B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</w:p>
          <w:p w14:paraId="3C88A9C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в проявлении творческой активности населения, развитие культуры.</w:t>
            </w:r>
          </w:p>
          <w:p w14:paraId="61E672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53412A" w:rsidRPr="0053412A" w14:paraId="3DA9B323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77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A9AD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Приобретение для активных участников общественных </w:t>
            </w: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движений, культурно-массовых мероприятий билетов на концентры, театральные постановки</w:t>
            </w: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02A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97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3297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DCECE53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A0C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lastRenderedPageBreak/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C5D3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21AF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CE5A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13AC8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EFE8FE0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E15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B104F" w14:textId="77777777" w:rsid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  <w:p w14:paraId="1A273689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63F02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1AFF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C934E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02D1149" w14:textId="77777777" w:rsidTr="002D6F43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2730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451C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1FE89" w14:textId="7B1DD351" w:rsidR="0053412A" w:rsidRPr="0053412A" w:rsidRDefault="00B87E28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  <w:r w:rsidR="0053412A"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E8CF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18B6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46783A31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E4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E735E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BEF02" w14:textId="4240B220" w:rsidR="0053412A" w:rsidRPr="0053412A" w:rsidRDefault="002D6F43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CDE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1500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AFF039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D4A3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5B0DE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F2305" w14:textId="7B5D7D7F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3FA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98C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BEFFC9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9F1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F86D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4808F" w14:textId="22ED2F76" w:rsidR="0053412A" w:rsidRPr="0053412A" w:rsidRDefault="00D21D6A" w:rsidP="00B87E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4A6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0FC6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F3003A4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7A71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24532" w14:textId="0763A32C" w:rsidR="0053412A" w:rsidRPr="0053412A" w:rsidRDefault="00A83AE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AEA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юбилейными датами учреждений, организаций села и населенных пунктов (коллективы, ансамбли, хоры)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56435" w14:textId="3F82CE58" w:rsidR="0053412A" w:rsidRPr="0053412A" w:rsidRDefault="0005258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19410,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22550" w14:textId="391D98FC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E42A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0225BE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897E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82CEB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учреждениям, организациям села и населенных пунктов в проведении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00F77" w14:textId="3C060B0E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DEC0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55B7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0C0ADBD2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CF3A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B363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985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CAF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6006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62FFDCF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FBDB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CDDD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отличников - учащихся МБОУ «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70680" w14:textId="38F9ADD5" w:rsidR="0053412A" w:rsidRPr="0053412A" w:rsidRDefault="00B87E28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1988</w:t>
            </w:r>
            <w:r w:rsidR="0053412A"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139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1741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CD20EC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8CB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537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 несовершеннолетних работников за добросовестный труд по итогам работы в «Отряде главы» (вручение благодарностей)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9B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0CE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1808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94C732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4E21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161F9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F22" w14:textId="54D044FC" w:rsidR="0053412A" w:rsidRPr="0053412A" w:rsidRDefault="0005258A" w:rsidP="00A83A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112976,3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AE59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70E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4BE3A9F" w14:textId="77777777" w:rsidTr="00154DC7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A1DB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</w:t>
            </w:r>
          </w:p>
          <w:p w14:paraId="4483F0E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53412A" w:rsidRPr="0053412A" w14:paraId="614F38ED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B91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037E4" w14:textId="01A61D03" w:rsidR="0053412A" w:rsidRPr="0053412A" w:rsidRDefault="009B3785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снежных фигур на территории сельского поселения «Зеленец»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1FD1" w14:textId="711A4CE1" w:rsidR="0053412A" w:rsidRPr="0053412A" w:rsidRDefault="0005258A" w:rsidP="009B378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6479,94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A3D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EFC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1699E0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7BFA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1390C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5C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03A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0C5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D5DBA49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60C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CFA1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членов Совета ветеранов и инвалидов, Женсовета и МОД «Коми 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войтыр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», представителей других общественных движений и организаций 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621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80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2ED1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99FD3D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C047D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906A8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Совета ветеранов к проведению на административной территории поселения опросов, анкетирования и мониторингов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71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3D11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169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0B61DD3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8F32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BB2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Совета ветеранов и Женсовета в работе комиссий при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68F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BA23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B6FA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57B4F386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2F32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809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BDB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0DC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1891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05C15BE0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F301F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60A4D" w14:textId="77777777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посвященных Дню пожилых </w:t>
            </w: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людей, согласно отдельному плану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B2C" w14:textId="0BC3E004" w:rsidR="0053412A" w:rsidRPr="00106DCD" w:rsidRDefault="009B3785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2130,39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1A09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AF0B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EF387DC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EE474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lastRenderedPageBreak/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4CD768" w14:textId="0F2E019A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юбиляров 80 лет, 85 лет, 90 лет, 95 лет, 100 лет и т.д. Вручение открыток и ценных подарков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08CCC" w14:textId="714A65BB" w:rsidR="0053412A" w:rsidRPr="0053412A" w:rsidRDefault="007137F9" w:rsidP="007137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6057,51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562F2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5B91C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B60ED2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AFC83B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A159F3" w14:textId="73003C3F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82F0" w14:textId="3DFAE1EE" w:rsidR="0053412A" w:rsidRPr="00106DCD" w:rsidRDefault="005F355D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00BD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37BC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E32E57E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775CF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366178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62E75" w14:textId="47CC8E6F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710DB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278C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0E55B8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9AF8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0000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6BA7" w14:textId="0D8115FD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27A31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94C6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E804B30" w14:textId="77777777" w:rsidTr="002D6F4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F54A8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834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о деятельности общественных движений на сайте поселения и информационных стендах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DE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4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F0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323C74A5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13A6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9F2E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98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B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9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168FCD82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3B8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2646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Охват комплексными медицинскими осмотрами инвалидов и участников Великой Отечественной войны, вдов погибших и умерших инвалидов и участников Великой Отечественной  войны и тружеников тыла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62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43E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48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7640F762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CBBBE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F5932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BAE" w14:textId="11F1EA47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3918,63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04B8D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4CA4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4594766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5F52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EDDC7C" w14:textId="77777777" w:rsidR="0053412A" w:rsidRPr="0053412A" w:rsidRDefault="0053412A" w:rsidP="0053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9E9" w14:textId="70C0DABA" w:rsidR="0053412A" w:rsidRPr="0053412A" w:rsidRDefault="00A83AE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F62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1F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A891B56" w14:textId="77777777" w:rsidTr="002D6F4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14E7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F76760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669" w14:textId="314DF0CF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3014,23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7E70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6C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F7D5F3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A85D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E3E0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5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C35F2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74B3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F0AE2CA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A797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315A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с днем рождения тружеников тыла, малолетнего узника фашизма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427" w14:textId="49243639" w:rsidR="0053412A" w:rsidRPr="0053412A" w:rsidRDefault="007137F9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C1BB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9735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088C187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B47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F982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 сельского поселения «Зеленец»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384E" w14:textId="14A66888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2703,0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5F94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8023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14D7475" w14:textId="77777777" w:rsidTr="002D6F43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4C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52E16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3DA" w14:textId="1857942E" w:rsidR="0053412A" w:rsidRPr="0053412A" w:rsidRDefault="0005258A" w:rsidP="00A83A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29983,25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2DE3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3AA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4FCF475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97F2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FBC0F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4A78" w14:textId="0AEECD6F" w:rsidR="0053412A" w:rsidRPr="0053412A" w:rsidRDefault="0005258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142959,55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B87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7A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A6C938D" w14:textId="20D20D5A" w:rsidR="005B53BB" w:rsidRDefault="0005258A" w:rsidP="000525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.»</w:t>
      </w:r>
    </w:p>
    <w:p w14:paraId="46EFC3A8" w14:textId="1E253F4D" w:rsidR="0005258A" w:rsidRDefault="0005258A" w:rsidP="00052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Раздел 3 изложить в следующей редакции:</w:t>
      </w:r>
    </w:p>
    <w:p w14:paraId="5928FA17" w14:textId="77777777" w:rsidR="0005258A" w:rsidRDefault="0005258A" w:rsidP="00052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29AB1" w14:textId="79F7DC59" w:rsidR="0005258A" w:rsidRPr="00B16180" w:rsidRDefault="0005258A" w:rsidP="00052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16180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14:paraId="2605488D" w14:textId="140F3726" w:rsidR="0005258A" w:rsidRPr="00160F2F" w:rsidRDefault="0005258A" w:rsidP="0005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На реализацию муниципальной П</w:t>
      </w:r>
      <w:r>
        <w:rPr>
          <w:rFonts w:ascii="Times New Roman" w:hAnsi="Times New Roman"/>
          <w:sz w:val="24"/>
          <w:szCs w:val="24"/>
        </w:rPr>
        <w:t>рограммы на 2024-2026 гг. потребуется 158,0</w:t>
      </w:r>
      <w:r w:rsidRPr="00CE7C32">
        <w:rPr>
          <w:rFonts w:ascii="Times New Roman" w:hAnsi="Times New Roman"/>
          <w:sz w:val="24"/>
          <w:szCs w:val="24"/>
        </w:rPr>
        <w:t xml:space="preserve"> </w:t>
      </w:r>
      <w:r w:rsidRPr="00B16180">
        <w:rPr>
          <w:rFonts w:ascii="Times New Roman" w:hAnsi="Times New Roman"/>
          <w:sz w:val="24"/>
          <w:szCs w:val="24"/>
        </w:rPr>
        <w:t>тыс. 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</w:t>
      </w:r>
      <w:proofErr w:type="gramStart"/>
      <w:r w:rsidRPr="00B161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14:paraId="23BCB116" w14:textId="31CC9DA1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B5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3BB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="00614AD6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614AD6">
        <w:rPr>
          <w:rFonts w:ascii="Times New Roman" w:hAnsi="Times New Roman"/>
          <w:sz w:val="24"/>
          <w:szCs w:val="24"/>
        </w:rPr>
        <w:t xml:space="preserve"> Ю.А.</w:t>
      </w:r>
      <w:r w:rsidRPr="005B53BB">
        <w:rPr>
          <w:rFonts w:ascii="Times New Roman" w:hAnsi="Times New Roman"/>
          <w:sz w:val="24"/>
          <w:szCs w:val="24"/>
        </w:rPr>
        <w:t xml:space="preserve">, </w:t>
      </w:r>
      <w:r w:rsidR="00614AD6">
        <w:rPr>
          <w:rFonts w:ascii="Times New Roman" w:hAnsi="Times New Roman"/>
          <w:sz w:val="24"/>
          <w:szCs w:val="24"/>
        </w:rPr>
        <w:t xml:space="preserve">ведущего </w:t>
      </w:r>
      <w:r w:rsidRPr="005B53BB">
        <w:rPr>
          <w:rFonts w:ascii="Times New Roman" w:hAnsi="Times New Roman"/>
          <w:sz w:val="24"/>
          <w:szCs w:val="24"/>
        </w:rPr>
        <w:t>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4513A8AF" w:rsidR="005B53BB" w:rsidRPr="005B53BB" w:rsidRDefault="0005258A" w:rsidP="000525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руководителя администрации</w:t>
            </w:r>
            <w:r w:rsidR="005B53BB" w:rsidRPr="005B53BB">
              <w:rPr>
                <w:sz w:val="24"/>
                <w:szCs w:val="24"/>
              </w:rPr>
              <w:t xml:space="preserve"> сельского поселения «Зеленец»</w:t>
            </w:r>
          </w:p>
        </w:tc>
        <w:tc>
          <w:tcPr>
            <w:tcW w:w="4962" w:type="dxa"/>
          </w:tcPr>
          <w:p w14:paraId="1E3B0E87" w14:textId="77777777" w:rsidR="0005258A" w:rsidRDefault="0005258A" w:rsidP="00154DC7">
            <w:pPr>
              <w:jc w:val="right"/>
              <w:rPr>
                <w:sz w:val="24"/>
                <w:szCs w:val="24"/>
              </w:rPr>
            </w:pPr>
          </w:p>
          <w:p w14:paraId="58EDFC0C" w14:textId="74434675" w:rsidR="005B53BB" w:rsidRPr="005B53BB" w:rsidRDefault="0005258A" w:rsidP="00154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Торлопова</w:t>
            </w:r>
            <w:proofErr w:type="spellEnd"/>
          </w:p>
        </w:tc>
      </w:tr>
    </w:tbl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5258A"/>
    <w:rsid w:val="000D3E34"/>
    <w:rsid w:val="00106DCD"/>
    <w:rsid w:val="001104FB"/>
    <w:rsid w:val="00154DC7"/>
    <w:rsid w:val="001C234F"/>
    <w:rsid w:val="002D6F43"/>
    <w:rsid w:val="004E4603"/>
    <w:rsid w:val="0053412A"/>
    <w:rsid w:val="00570624"/>
    <w:rsid w:val="005B53BB"/>
    <w:rsid w:val="005F355D"/>
    <w:rsid w:val="00614AD6"/>
    <w:rsid w:val="006305D3"/>
    <w:rsid w:val="007137F9"/>
    <w:rsid w:val="007E0AFC"/>
    <w:rsid w:val="00921ED5"/>
    <w:rsid w:val="00927066"/>
    <w:rsid w:val="00933016"/>
    <w:rsid w:val="00973266"/>
    <w:rsid w:val="009B3785"/>
    <w:rsid w:val="00A83AEA"/>
    <w:rsid w:val="00A91235"/>
    <w:rsid w:val="00B10A66"/>
    <w:rsid w:val="00B87E28"/>
    <w:rsid w:val="00C2489D"/>
    <w:rsid w:val="00D21D6A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3</cp:revision>
  <cp:lastPrinted>2024-10-08T14:07:00Z</cp:lastPrinted>
  <dcterms:created xsi:type="dcterms:W3CDTF">2024-12-24T16:00:00Z</dcterms:created>
  <dcterms:modified xsi:type="dcterms:W3CDTF">2024-12-24T16:08:00Z</dcterms:modified>
</cp:coreProperties>
</file>