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933016" w:rsidRPr="00273711" w14:paraId="66C92307" w14:textId="77777777" w:rsidTr="002A7ED8">
        <w:tc>
          <w:tcPr>
            <w:tcW w:w="3969" w:type="dxa"/>
            <w:vAlign w:val="center"/>
            <w:hideMark/>
          </w:tcPr>
          <w:p w14:paraId="28ED2DF5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14:paraId="2E08CD12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14:paraId="22B006CE" w14:textId="77777777" w:rsidR="00933016" w:rsidRPr="00273711" w:rsidRDefault="00933016" w:rsidP="002A7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14:paraId="5601C974" w14:textId="77777777" w:rsidR="00933016" w:rsidRPr="00273711" w:rsidRDefault="00933016" w:rsidP="002A7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14:paraId="1D9A3EF6" w14:textId="77777777" w:rsidR="00933016" w:rsidRPr="00273711" w:rsidRDefault="00933016" w:rsidP="002A7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9AF38B" wp14:editId="7B7E05BE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14:paraId="416E1259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Коми Республикаса «Сыктывдін»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14:paraId="36C2B5E7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овмöдчöминса администрация</w:t>
            </w:r>
          </w:p>
        </w:tc>
      </w:tr>
    </w:tbl>
    <w:p w14:paraId="4D51A1A7" w14:textId="77777777" w:rsidR="00933016" w:rsidRPr="00273711" w:rsidRDefault="00933016" w:rsidP="00933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B362E7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14:paraId="2FE60C97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711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</w:t>
      </w:r>
    </w:p>
    <w:p w14:paraId="277DBA13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 Ö М</w:t>
      </w:r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D582DBE" w14:textId="77777777" w:rsidR="00933016" w:rsidRPr="00273711" w:rsidRDefault="00933016" w:rsidP="009330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33016" w:rsidRPr="00C23F7A" w14:paraId="7AB0D50F" w14:textId="77777777" w:rsidTr="002A7ED8">
        <w:tc>
          <w:tcPr>
            <w:tcW w:w="5070" w:type="dxa"/>
          </w:tcPr>
          <w:p w14:paraId="5ADF8666" w14:textId="47894A1D" w:rsidR="00933016" w:rsidRPr="00C23F7A" w:rsidRDefault="004670D8" w:rsidP="004670D8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31 января</w:t>
            </w:r>
            <w:r w:rsidR="00933016"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 202</w:t>
            </w:r>
            <w:r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4</w:t>
            </w:r>
            <w:r w:rsidR="00933016"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677" w:type="dxa"/>
          </w:tcPr>
          <w:p w14:paraId="4C33CF9F" w14:textId="41B0FBC0" w:rsidR="00933016" w:rsidRPr="00C23F7A" w:rsidRDefault="00933016" w:rsidP="004670D8">
            <w:pPr>
              <w:suppressAutoHyphens/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№ </w:t>
            </w:r>
            <w:r w:rsidR="004670D8"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1</w:t>
            </w:r>
            <w:r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/</w:t>
            </w:r>
            <w:r w:rsidR="004670D8" w:rsidRPr="00C23F7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23</w:t>
            </w:r>
          </w:p>
        </w:tc>
      </w:tr>
    </w:tbl>
    <w:p w14:paraId="6CEA9988" w14:textId="77777777" w:rsidR="00933016" w:rsidRPr="00C23F7A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F10E49F" w14:textId="77777777" w:rsidR="00933016" w:rsidRPr="00C23F7A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23F7A">
        <w:rPr>
          <w:rFonts w:ascii="Times New Roman" w:eastAsia="Calibri" w:hAnsi="Times New Roman" w:cs="Times New Roman"/>
          <w:sz w:val="23"/>
          <w:szCs w:val="23"/>
        </w:rPr>
        <w:t>Республика Коми, Сыктывдинский район, с.Зеленец</w:t>
      </w:r>
    </w:p>
    <w:p w14:paraId="461FAF75" w14:textId="77777777" w:rsidR="00933016" w:rsidRPr="00C23F7A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23F7A">
        <w:rPr>
          <w:rFonts w:ascii="Times New Roman" w:eastAsia="Calibri" w:hAnsi="Times New Roman" w:cs="Times New Roman"/>
          <w:sz w:val="23"/>
          <w:szCs w:val="23"/>
        </w:rPr>
        <w:t xml:space="preserve">Коми Республика, Сыктывдін район, Зеленеч </w:t>
      </w:r>
      <w:proofErr w:type="gramStart"/>
      <w:r w:rsidRPr="00C23F7A">
        <w:rPr>
          <w:rFonts w:ascii="Times New Roman" w:eastAsia="Calibri" w:hAnsi="Times New Roman" w:cs="Times New Roman"/>
          <w:sz w:val="23"/>
          <w:szCs w:val="23"/>
        </w:rPr>
        <w:t>с</w:t>
      </w:r>
      <w:proofErr w:type="gramEnd"/>
      <w:r w:rsidRPr="00C23F7A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3442BE0" w14:textId="77777777" w:rsidR="004E4603" w:rsidRPr="00C23F7A" w:rsidRDefault="004E4603" w:rsidP="004E46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  <w:lang w:eastAsia="ar-SA"/>
        </w:rPr>
      </w:pPr>
    </w:p>
    <w:p w14:paraId="0881FB25" w14:textId="77777777" w:rsidR="005B53BB" w:rsidRPr="00C23F7A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</w:pPr>
      <w:r w:rsidRPr="00C23F7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О внесении изменений в постановление администрации </w:t>
      </w:r>
    </w:p>
    <w:p w14:paraId="7D8C6E97" w14:textId="77777777" w:rsidR="005B53BB" w:rsidRPr="00C23F7A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</w:pPr>
      <w:r w:rsidRPr="00C23F7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от 10 ноября 2022 г. № 11/156 «Об утверждении муниципальной программы «Комплексное благоустройство территории муниципального образования сельского поселения «Зеленец» на 2023 – 2025 гг.»</w:t>
      </w:r>
    </w:p>
    <w:p w14:paraId="0F7B80E2" w14:textId="77777777" w:rsidR="005B53BB" w:rsidRPr="00C23F7A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14:paraId="100C127B" w14:textId="77777777" w:rsidR="005B53BB" w:rsidRPr="00C23F7A" w:rsidRDefault="005B53BB" w:rsidP="005B53B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  <w:proofErr w:type="gramStart"/>
      <w:r w:rsidRPr="00C23F7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Во исполнение статьи 14 Федерального закона Российской Федерации от 06 октября 2003 года № 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решения Совета сельского поселения «Зеленец» от 15 марта 2023 года № V/25-01 «Об утверждении Правил благоустройства территории муниципального образования сельского поселения «Зеленец», решения Совета сельского поселения «Зеленец» от 18 апреля 2023</w:t>
      </w:r>
      <w:proofErr w:type="gramEnd"/>
      <w:r w:rsidRPr="00C23F7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 года № </w:t>
      </w:r>
      <w:r w:rsidRPr="00C23F7A">
        <w:rPr>
          <w:rFonts w:ascii="Times New Roman" w:eastAsia="Times New Roman" w:hAnsi="Times New Roman"/>
          <w:spacing w:val="1"/>
          <w:sz w:val="23"/>
          <w:szCs w:val="23"/>
          <w:lang w:val="en-US" w:eastAsia="ru-RU"/>
        </w:rPr>
        <w:t>V</w:t>
      </w:r>
      <w:r w:rsidRPr="00C23F7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/26-01 «О внесении изменений в решение Совета сельского поселения «Зеленец» от 23 декабря 2022 года № V/22-02 «О бюджете муниципального образования сельского поселения «Зеленец» на 2023 год и плановый период 2024-2025 годов», администрация сельского поселения «Зеленец» </w:t>
      </w:r>
    </w:p>
    <w:p w14:paraId="3A2DAAE3" w14:textId="77777777" w:rsidR="005B53BB" w:rsidRPr="00C23F7A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3"/>
          <w:szCs w:val="23"/>
          <w:lang w:eastAsia="ru-RU"/>
        </w:rPr>
      </w:pPr>
      <w:r w:rsidRPr="00C23F7A">
        <w:rPr>
          <w:rFonts w:ascii="Times New Roman" w:eastAsia="Times New Roman" w:hAnsi="Times New Roman"/>
          <w:b/>
          <w:spacing w:val="1"/>
          <w:sz w:val="23"/>
          <w:szCs w:val="23"/>
          <w:lang w:eastAsia="ru-RU"/>
        </w:rPr>
        <w:t>постановляет:</w:t>
      </w:r>
    </w:p>
    <w:p w14:paraId="050194C5" w14:textId="77777777" w:rsidR="005B53BB" w:rsidRPr="00C23F7A" w:rsidRDefault="005B53BB" w:rsidP="005B53BB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14:paraId="28B4F5ED" w14:textId="77777777" w:rsidR="005B53BB" w:rsidRPr="00C23F7A" w:rsidRDefault="005B53BB" w:rsidP="005B5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  <w:r w:rsidRPr="00C23F7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1. Внести следующие изменения в приложение к постановлению администрации сельского поселения «Зеленец» от 10 ноября 2022 года № 11/156 «Об утверждении муниципальной программы «</w:t>
      </w:r>
      <w:r w:rsidRPr="00C23F7A">
        <w:rPr>
          <w:rFonts w:ascii="Times New Roman" w:eastAsia="Times New Roman" w:hAnsi="Times New Roman"/>
          <w:bCs/>
          <w:sz w:val="23"/>
          <w:szCs w:val="23"/>
          <w:lang w:eastAsia="ru-RU"/>
        </w:rPr>
        <w:t>Комплексное благоустройство территории муниципального образования сельского поселения «Зеленец» на 2023 – 2025 гг.</w:t>
      </w:r>
      <w:r w:rsidRPr="00C23F7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»:</w:t>
      </w:r>
    </w:p>
    <w:p w14:paraId="5912157B" w14:textId="77777777" w:rsidR="003645DB" w:rsidRPr="00C23F7A" w:rsidRDefault="003645DB" w:rsidP="003645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  <w:r w:rsidRPr="00C23F7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1.1. Позицию 7 Паспорта муниципальной программы изложить в следующей редакции:</w:t>
      </w:r>
    </w:p>
    <w:tbl>
      <w:tblPr>
        <w:tblW w:w="4963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653"/>
      </w:tblGrid>
      <w:tr w:rsidR="003645DB" w:rsidRPr="00C23F7A" w14:paraId="1B887E75" w14:textId="77777777" w:rsidTr="00491B4E">
        <w:tc>
          <w:tcPr>
            <w:tcW w:w="1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1182" w14:textId="77777777" w:rsidR="003645DB" w:rsidRPr="00C23F7A" w:rsidRDefault="003645DB" w:rsidP="004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3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86B7" w14:textId="1FFF0630" w:rsidR="003645DB" w:rsidRPr="00C23F7A" w:rsidRDefault="003645DB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23F7A"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302 159,55</w:t>
            </w:r>
            <w:r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руб., в том числе по годам:</w:t>
            </w:r>
          </w:p>
          <w:p w14:paraId="4F69CFD4" w14:textId="03CA526F" w:rsidR="003645DB" w:rsidRPr="00C23F7A" w:rsidRDefault="003645DB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</w:t>
            </w:r>
            <w:r w:rsidR="00C23F7A"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302 159,55</w:t>
            </w:r>
            <w:r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  <w:p w14:paraId="2956DE72" w14:textId="77777777" w:rsidR="003645DB" w:rsidRPr="00C23F7A" w:rsidRDefault="003645DB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 год –0 руб.</w:t>
            </w:r>
          </w:p>
          <w:p w14:paraId="04A07A82" w14:textId="77777777" w:rsidR="003645DB" w:rsidRPr="00C23F7A" w:rsidRDefault="003645DB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3F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 год – 0 руб.</w:t>
            </w:r>
          </w:p>
        </w:tc>
      </w:tr>
    </w:tbl>
    <w:p w14:paraId="10DED549" w14:textId="77777777" w:rsidR="003645DB" w:rsidRPr="00C23F7A" w:rsidRDefault="003645DB" w:rsidP="005B5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14:paraId="4DAF6763" w14:textId="3BEDB58D" w:rsidR="005B53BB" w:rsidRPr="00C23F7A" w:rsidRDefault="005B53BB" w:rsidP="005B5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  <w:r w:rsidRPr="00C23F7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1.</w:t>
      </w:r>
      <w:r w:rsidR="003645DB" w:rsidRPr="00C23F7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2</w:t>
      </w:r>
      <w:r w:rsidRPr="00C23F7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. Раздел 2 изложить в следующей редакции: </w:t>
      </w:r>
    </w:p>
    <w:p w14:paraId="6A4CDC19" w14:textId="77777777" w:rsidR="005B53BB" w:rsidRPr="00C23F7A" w:rsidRDefault="005B53BB" w:rsidP="005B53B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23F7A">
        <w:rPr>
          <w:rFonts w:ascii="Times New Roman" w:hAnsi="Times New Roman"/>
          <w:b/>
          <w:sz w:val="23"/>
          <w:szCs w:val="23"/>
        </w:rPr>
        <w:t>«2. Программные мероприятия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958"/>
        <w:gridCol w:w="1416"/>
        <w:gridCol w:w="6"/>
        <w:gridCol w:w="1269"/>
        <w:gridCol w:w="6"/>
        <w:gridCol w:w="1134"/>
      </w:tblGrid>
      <w:tr w:rsidR="005B53BB" w:rsidRPr="00C23F7A" w14:paraId="19A3F43D" w14:textId="77777777" w:rsidTr="005B53B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8825" w14:textId="77777777" w:rsidR="005B53BB" w:rsidRPr="00C23F7A" w:rsidRDefault="005B53BB" w:rsidP="00DE71B7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№</w:t>
            </w:r>
          </w:p>
          <w:p w14:paraId="4007BDD8" w14:textId="77777777" w:rsidR="005B53BB" w:rsidRPr="00C23F7A" w:rsidRDefault="005B53BB" w:rsidP="00DE71B7">
            <w:pPr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C23F7A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EF79" w14:textId="77777777" w:rsidR="005B53BB" w:rsidRPr="00C23F7A" w:rsidRDefault="005B53BB" w:rsidP="00DE71B7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ACEE" w14:textId="18BED97E" w:rsidR="005B53BB" w:rsidRPr="00C23F7A" w:rsidRDefault="005B53BB" w:rsidP="00C23F7A">
            <w:pPr>
              <w:jc w:val="center"/>
              <w:outlineLvl w:val="1"/>
              <w:rPr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Годы/ руб.</w:t>
            </w:r>
          </w:p>
        </w:tc>
      </w:tr>
      <w:tr w:rsidR="005B53BB" w:rsidRPr="00C23F7A" w14:paraId="775030C9" w14:textId="77777777" w:rsidTr="005B53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9077" w14:textId="77777777" w:rsidR="005B53BB" w:rsidRPr="00C23F7A" w:rsidRDefault="005B53BB" w:rsidP="00DE71B7">
            <w:pPr>
              <w:rPr>
                <w:b/>
                <w:sz w:val="23"/>
                <w:szCs w:val="23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09EF" w14:textId="77777777" w:rsidR="005B53BB" w:rsidRPr="00C23F7A" w:rsidRDefault="005B53BB" w:rsidP="00DE71B7">
            <w:pPr>
              <w:rPr>
                <w:b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F476" w14:textId="77777777" w:rsidR="005B53BB" w:rsidRPr="00C23F7A" w:rsidRDefault="005B53BB" w:rsidP="00DE71B7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63A" w14:textId="77777777" w:rsidR="005B53BB" w:rsidRPr="00C23F7A" w:rsidRDefault="005B53BB" w:rsidP="00DE71B7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439" w14:textId="77777777" w:rsidR="005B53BB" w:rsidRPr="00C23F7A" w:rsidRDefault="005B53BB" w:rsidP="00DE71B7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2025</w:t>
            </w:r>
          </w:p>
        </w:tc>
      </w:tr>
      <w:tr w:rsidR="005B53BB" w:rsidRPr="00C23F7A" w14:paraId="773F4EE8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64E" w14:textId="77777777" w:rsidR="005B53BB" w:rsidRPr="00C23F7A" w:rsidRDefault="005B53BB" w:rsidP="00DE71B7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3EC6" w14:textId="77777777" w:rsidR="005B53BB" w:rsidRPr="00C23F7A" w:rsidRDefault="005B53BB" w:rsidP="00DE71B7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DCA4" w14:textId="77777777" w:rsidR="005B53BB" w:rsidRPr="00C23F7A" w:rsidRDefault="005B53BB" w:rsidP="00DE71B7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796" w14:textId="77777777" w:rsidR="005B53BB" w:rsidRPr="00C23F7A" w:rsidRDefault="005B53BB" w:rsidP="00DE71B7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0E52" w14:textId="77777777" w:rsidR="005B53BB" w:rsidRPr="00C23F7A" w:rsidRDefault="005B53BB" w:rsidP="00DE71B7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5</w:t>
            </w:r>
          </w:p>
        </w:tc>
      </w:tr>
      <w:tr w:rsidR="005B53BB" w:rsidRPr="00C23F7A" w14:paraId="1E412262" w14:textId="77777777" w:rsidTr="005B53B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26E" w14:textId="77777777" w:rsidR="005B53BB" w:rsidRPr="00C23F7A" w:rsidRDefault="005B53BB" w:rsidP="00DE71B7">
            <w:pPr>
              <w:jc w:val="center"/>
              <w:outlineLvl w:val="1"/>
              <w:rPr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Раздел 1. Общее благоустройство территории сельского поселения «Зеленец»</w:t>
            </w:r>
          </w:p>
        </w:tc>
      </w:tr>
      <w:tr w:rsidR="005B53BB" w:rsidRPr="00C23F7A" w14:paraId="4A9F4992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DD12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E2B7" w14:textId="77777777" w:rsidR="005B53BB" w:rsidRPr="00C23F7A" w:rsidRDefault="005B53BB" w:rsidP="00DE71B7">
            <w:pPr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</w:pPr>
            <w:r w:rsidRPr="00C23F7A">
              <w:rPr>
                <w:sz w:val="23"/>
                <w:szCs w:val="23"/>
                <w:lang w:eastAsia="ar-SA"/>
              </w:rPr>
              <w:t xml:space="preserve">Организация работ по озеленению территории </w:t>
            </w:r>
            <w:r w:rsidRPr="00C23F7A"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  <w:t>населенных пунктов</w:t>
            </w:r>
            <w:r w:rsidRPr="00C23F7A">
              <w:rPr>
                <w:sz w:val="23"/>
                <w:szCs w:val="23"/>
                <w:lang w:eastAsia="ar-SA"/>
              </w:rPr>
              <w:t xml:space="preserve"> (разбивка клумб, цветников, посадка кустарников и саженцев деревьев, сезонный уход)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64E5" w14:textId="63F6C5AD" w:rsidR="005B53BB" w:rsidRPr="00C23F7A" w:rsidRDefault="004F2874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29</w:t>
            </w:r>
            <w:r w:rsidR="00C23F7A" w:rsidRPr="00C23F7A">
              <w:rPr>
                <w:sz w:val="23"/>
                <w:szCs w:val="23"/>
              </w:rPr>
              <w:t> </w:t>
            </w:r>
            <w:r w:rsidRPr="00C23F7A">
              <w:rPr>
                <w:sz w:val="23"/>
                <w:szCs w:val="23"/>
              </w:rPr>
              <w:t>977,0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393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297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</w:tr>
      <w:tr w:rsidR="005B53BB" w:rsidRPr="00C23F7A" w14:paraId="1459A5AA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127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4A36" w14:textId="77777777" w:rsidR="005B53BB" w:rsidRPr="00C23F7A" w:rsidRDefault="005B53BB" w:rsidP="00DE71B7">
            <w:pPr>
              <w:snapToGrid w:val="0"/>
              <w:jc w:val="both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 xml:space="preserve">Содержание в чистоте территории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D9AC" w14:textId="0D0A59CA" w:rsidR="005B53BB" w:rsidRPr="00C23F7A" w:rsidRDefault="004F2874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62</w:t>
            </w:r>
            <w:r w:rsidR="00C23F7A" w:rsidRPr="00C23F7A">
              <w:rPr>
                <w:sz w:val="23"/>
                <w:szCs w:val="23"/>
              </w:rPr>
              <w:t> </w:t>
            </w:r>
            <w:r w:rsidRPr="00C23F7A">
              <w:rPr>
                <w:sz w:val="23"/>
                <w:szCs w:val="23"/>
              </w:rPr>
              <w:t>757,50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670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9BD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</w:tr>
      <w:tr w:rsidR="005B53BB" w:rsidRPr="00C23F7A" w14:paraId="497EC557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219B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0FA6" w14:textId="77777777" w:rsidR="005B53BB" w:rsidRPr="00C23F7A" w:rsidRDefault="005B53BB" w:rsidP="00DE71B7">
            <w:pPr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</w:pPr>
            <w:r w:rsidRPr="00C23F7A"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  <w:t xml:space="preserve">Содержание детских площадок и </w:t>
            </w:r>
            <w:proofErr w:type="spellStart"/>
            <w:r w:rsidRPr="00C23F7A"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  <w:t>МАФов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311" w14:textId="612348FD" w:rsidR="005B53BB" w:rsidRPr="00C23F7A" w:rsidRDefault="004F2874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24</w:t>
            </w:r>
            <w:r w:rsidR="00C23F7A" w:rsidRPr="00C23F7A">
              <w:rPr>
                <w:sz w:val="23"/>
                <w:szCs w:val="23"/>
              </w:rPr>
              <w:t> </w:t>
            </w:r>
            <w:r w:rsidRPr="00C23F7A">
              <w:rPr>
                <w:sz w:val="23"/>
                <w:szCs w:val="23"/>
              </w:rPr>
              <w:t>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CBE6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D4A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</w:tr>
      <w:tr w:rsidR="005B53BB" w:rsidRPr="00C23F7A" w14:paraId="2D30512C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830F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1DF" w14:textId="4A8A54ED" w:rsidR="005B53BB" w:rsidRPr="00C23F7A" w:rsidRDefault="005B53BB" w:rsidP="005B53BB">
            <w:pPr>
              <w:snapToGrid w:val="0"/>
              <w:jc w:val="both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Приобретение материальных запасов</w:t>
            </w:r>
            <w:r w:rsidR="004F2874" w:rsidRPr="00C23F7A">
              <w:rPr>
                <w:sz w:val="23"/>
                <w:szCs w:val="23"/>
              </w:rPr>
              <w:t>, основных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D0F" w14:textId="21B3EB01" w:rsidR="005B53BB" w:rsidRPr="00C23F7A" w:rsidRDefault="004F2874" w:rsidP="00DE71B7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C23F7A">
              <w:rPr>
                <w:bCs/>
                <w:sz w:val="23"/>
                <w:szCs w:val="23"/>
              </w:rPr>
              <w:t>25</w:t>
            </w:r>
            <w:r w:rsidR="00C23F7A" w:rsidRPr="00C23F7A">
              <w:rPr>
                <w:bCs/>
                <w:sz w:val="23"/>
                <w:szCs w:val="23"/>
              </w:rPr>
              <w:t> </w:t>
            </w:r>
            <w:r w:rsidRPr="00C23F7A">
              <w:rPr>
                <w:bCs/>
                <w:sz w:val="23"/>
                <w:szCs w:val="23"/>
              </w:rPr>
              <w:t>370,0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A95F" w14:textId="77777777" w:rsidR="005B53BB" w:rsidRPr="00C23F7A" w:rsidRDefault="005B53BB" w:rsidP="00DE71B7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C23F7A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4ACD" w14:textId="77777777" w:rsidR="005B53BB" w:rsidRPr="00C23F7A" w:rsidRDefault="005B53BB" w:rsidP="00DE71B7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C23F7A">
              <w:rPr>
                <w:bCs/>
                <w:sz w:val="23"/>
                <w:szCs w:val="23"/>
              </w:rPr>
              <w:t>0</w:t>
            </w:r>
          </w:p>
        </w:tc>
      </w:tr>
      <w:tr w:rsidR="005B53BB" w:rsidRPr="00C23F7A" w14:paraId="249B5B9F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CF64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F0F7" w14:textId="77777777" w:rsidR="005B53BB" w:rsidRPr="00C23F7A" w:rsidRDefault="005B53BB" w:rsidP="00DE71B7">
            <w:pPr>
              <w:tabs>
                <w:tab w:val="left" w:pos="1245"/>
              </w:tabs>
              <w:jc w:val="both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  <w:lang w:eastAsia="ar-SA"/>
              </w:rPr>
              <w:t>Организация месячника по санитарной очистке и благоустройству территории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1211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3F4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FF3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</w:tr>
      <w:tr w:rsidR="005B53BB" w:rsidRPr="00C23F7A" w14:paraId="6E3931E4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B08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B8E" w14:textId="77777777" w:rsidR="005B53BB" w:rsidRPr="00C23F7A" w:rsidRDefault="005B53BB" w:rsidP="00DE71B7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C23F7A">
              <w:rPr>
                <w:sz w:val="23"/>
                <w:szCs w:val="23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 w:rsidRPr="00C23F7A">
              <w:rPr>
                <w:sz w:val="23"/>
                <w:szCs w:val="23"/>
                <w:lang w:eastAsia="ar-SA"/>
              </w:rPr>
              <w:t>вывоза</w:t>
            </w:r>
            <w:proofErr w:type="gramEnd"/>
            <w:r w:rsidRPr="00C23F7A">
              <w:rPr>
                <w:sz w:val="23"/>
                <w:szCs w:val="23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04EB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9F82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CE6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</w:tr>
      <w:tr w:rsidR="005B53BB" w:rsidRPr="00C23F7A" w14:paraId="43A805CB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CD4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1460" w14:textId="77777777" w:rsidR="005B53BB" w:rsidRPr="00C23F7A" w:rsidRDefault="005B53BB" w:rsidP="00DE71B7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C23F7A">
              <w:rPr>
                <w:sz w:val="23"/>
                <w:szCs w:val="23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8C08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A9F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2D0B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</w:tr>
      <w:tr w:rsidR="005B53BB" w:rsidRPr="00C23F7A" w14:paraId="179BB4BA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0DE5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D92A" w14:textId="77777777" w:rsidR="005B53BB" w:rsidRPr="00C23F7A" w:rsidRDefault="005B53BB" w:rsidP="00DE71B7">
            <w:pPr>
              <w:tabs>
                <w:tab w:val="left" w:pos="1245"/>
              </w:tabs>
              <w:jc w:val="both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  <w:lang w:eastAsia="ar-SA"/>
              </w:rPr>
              <w:t>Участие в Акции «Речная лента» с привлечением волонтёров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0B55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8503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25B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</w:tr>
      <w:tr w:rsidR="005B53BB" w:rsidRPr="00C23F7A" w14:paraId="5AC7003A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AFA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F6A1" w14:textId="77777777" w:rsidR="005B53BB" w:rsidRPr="00C23F7A" w:rsidRDefault="005B53BB" w:rsidP="00DE71B7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C23F7A">
              <w:rPr>
                <w:sz w:val="23"/>
                <w:szCs w:val="23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 w:rsidRPr="00C23F7A">
              <w:rPr>
                <w:sz w:val="23"/>
                <w:szCs w:val="23"/>
                <w:lang w:eastAsia="ar-SA"/>
              </w:rPr>
              <w:t>вывоза</w:t>
            </w:r>
            <w:proofErr w:type="gramEnd"/>
            <w:r w:rsidRPr="00C23F7A">
              <w:rPr>
                <w:sz w:val="23"/>
                <w:szCs w:val="23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6837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C4C6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9BA7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</w:tr>
      <w:tr w:rsidR="005B53BB" w:rsidRPr="00C23F7A" w14:paraId="4644AA8E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9181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2EF" w14:textId="77777777" w:rsidR="005B53BB" w:rsidRPr="00C23F7A" w:rsidRDefault="005B53BB" w:rsidP="00DE71B7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C23F7A">
              <w:rPr>
                <w:sz w:val="23"/>
                <w:szCs w:val="23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931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BFE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E65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-</w:t>
            </w:r>
          </w:p>
        </w:tc>
      </w:tr>
      <w:tr w:rsidR="005B53BB" w:rsidRPr="00C23F7A" w14:paraId="7D505619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D676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1.11.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54A5" w14:textId="77777777" w:rsidR="005B53BB" w:rsidRPr="00C23F7A" w:rsidRDefault="005B53BB" w:rsidP="00DE71B7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C23F7A">
              <w:rPr>
                <w:sz w:val="23"/>
                <w:szCs w:val="23"/>
                <w:lang w:eastAsia="ar-SA"/>
              </w:rPr>
              <w:t>Подготовка территории к праздникам (установка новогодней ёлки и горки, развешивание баннеров и др.)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0760" w14:textId="6CAA7FD3" w:rsidR="005B53BB" w:rsidRPr="00C23F7A" w:rsidRDefault="004F2874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160</w:t>
            </w:r>
            <w:r w:rsidR="00C23F7A" w:rsidRPr="00C23F7A">
              <w:rPr>
                <w:sz w:val="23"/>
                <w:szCs w:val="23"/>
              </w:rPr>
              <w:t> </w:t>
            </w:r>
            <w:r w:rsidRPr="00C23F7A">
              <w:rPr>
                <w:sz w:val="23"/>
                <w:szCs w:val="23"/>
              </w:rPr>
              <w:t>055,05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1A7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ADA" w14:textId="77777777" w:rsidR="005B53BB" w:rsidRPr="00C23F7A" w:rsidRDefault="005B53BB" w:rsidP="00DE71B7">
            <w:pPr>
              <w:snapToGrid w:val="0"/>
              <w:jc w:val="center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0</w:t>
            </w:r>
          </w:p>
        </w:tc>
      </w:tr>
      <w:tr w:rsidR="005B53BB" w:rsidRPr="00C23F7A" w14:paraId="47BFC538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32C" w14:textId="77777777" w:rsidR="005B53BB" w:rsidRPr="00C23F7A" w:rsidRDefault="005B53BB" w:rsidP="00DE71B7">
            <w:pPr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CA6" w14:textId="77777777" w:rsidR="005B53BB" w:rsidRPr="00C23F7A" w:rsidRDefault="005B53BB" w:rsidP="00DE71B7">
            <w:pPr>
              <w:jc w:val="both"/>
              <w:outlineLvl w:val="1"/>
              <w:rPr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Итого по первому разделу: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78F4" w14:textId="16EBED32" w:rsidR="005B53BB" w:rsidRPr="00C23F7A" w:rsidRDefault="004F2874" w:rsidP="00DE71B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C23F7A">
              <w:rPr>
                <w:b/>
                <w:bCs/>
                <w:sz w:val="23"/>
                <w:szCs w:val="23"/>
              </w:rPr>
              <w:t>302159,55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AA7" w14:textId="77777777" w:rsidR="005B53BB" w:rsidRPr="00C23F7A" w:rsidRDefault="005B53BB" w:rsidP="00DE71B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C23F7A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37B" w14:textId="77777777" w:rsidR="005B53BB" w:rsidRPr="00C23F7A" w:rsidRDefault="005B53BB" w:rsidP="00DE71B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C23F7A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B53BB" w:rsidRPr="00C23F7A" w14:paraId="4BF0A812" w14:textId="77777777" w:rsidTr="005B5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F86" w14:textId="77777777" w:rsidR="005B53BB" w:rsidRPr="00C23F7A" w:rsidRDefault="005B53BB" w:rsidP="00DE71B7">
            <w:pPr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4AC6" w14:textId="77777777" w:rsidR="005B53BB" w:rsidRPr="00C23F7A" w:rsidRDefault="005B53BB" w:rsidP="00DE71B7">
            <w:pPr>
              <w:jc w:val="both"/>
              <w:rPr>
                <w:b/>
                <w:sz w:val="23"/>
                <w:szCs w:val="23"/>
              </w:rPr>
            </w:pPr>
            <w:r w:rsidRPr="00C23F7A">
              <w:rPr>
                <w:b/>
                <w:sz w:val="23"/>
                <w:szCs w:val="23"/>
              </w:rPr>
              <w:t>Всего по Программе: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78A1" w14:textId="5A95586E" w:rsidR="005B53BB" w:rsidRPr="00C23F7A" w:rsidRDefault="00C23F7A" w:rsidP="00DE71B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C23F7A">
              <w:rPr>
                <w:b/>
                <w:bCs/>
                <w:sz w:val="23"/>
                <w:szCs w:val="23"/>
              </w:rPr>
              <w:t>302159,55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8525" w14:textId="77777777" w:rsidR="005B53BB" w:rsidRPr="00C23F7A" w:rsidRDefault="005B53BB" w:rsidP="00DE71B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C23F7A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8F3" w14:textId="77777777" w:rsidR="005B53BB" w:rsidRPr="00C23F7A" w:rsidRDefault="005B53BB" w:rsidP="00DE71B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C23F7A">
              <w:rPr>
                <w:b/>
                <w:bCs/>
                <w:sz w:val="23"/>
                <w:szCs w:val="23"/>
              </w:rPr>
              <w:t>0,0</w:t>
            </w:r>
          </w:p>
        </w:tc>
      </w:tr>
    </w:tbl>
    <w:p w14:paraId="6A6C938D" w14:textId="77777777" w:rsidR="005B53BB" w:rsidRPr="00C23F7A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0274EF2" w14:textId="77777777" w:rsidR="00C23F7A" w:rsidRPr="00C23F7A" w:rsidRDefault="00C23F7A" w:rsidP="00C23F7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23F7A">
        <w:rPr>
          <w:rFonts w:ascii="Times New Roman" w:hAnsi="Times New Roman"/>
          <w:sz w:val="23"/>
          <w:szCs w:val="23"/>
        </w:rPr>
        <w:t xml:space="preserve">1.3. Раздел 3 изложить в следующей редакции: </w:t>
      </w:r>
    </w:p>
    <w:p w14:paraId="13360735" w14:textId="77777777" w:rsidR="00C23F7A" w:rsidRPr="00C23F7A" w:rsidRDefault="00C23F7A" w:rsidP="00C23F7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23F7A">
        <w:rPr>
          <w:rFonts w:ascii="Times New Roman" w:hAnsi="Times New Roman"/>
          <w:b/>
          <w:sz w:val="23"/>
          <w:szCs w:val="23"/>
        </w:rPr>
        <w:t>«3. Ресурсное обеспечение</w:t>
      </w:r>
    </w:p>
    <w:p w14:paraId="1ABF3414" w14:textId="3913F9E1" w:rsidR="00C23F7A" w:rsidRPr="00C23F7A" w:rsidRDefault="00C23F7A" w:rsidP="00C23F7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3F7A">
        <w:rPr>
          <w:rFonts w:ascii="Times New Roman" w:hAnsi="Times New Roman"/>
          <w:sz w:val="23"/>
          <w:szCs w:val="23"/>
        </w:rPr>
        <w:t xml:space="preserve">На реализацию муниципальной Программы на 2023-2025 гг. потребуется </w:t>
      </w:r>
      <w:r w:rsidRPr="00C23F7A">
        <w:rPr>
          <w:rFonts w:ascii="Times New Roman" w:hAnsi="Times New Roman"/>
          <w:sz w:val="23"/>
          <w:szCs w:val="23"/>
        </w:rPr>
        <w:t xml:space="preserve">302 159,55 </w:t>
      </w:r>
      <w:r w:rsidRPr="00C23F7A">
        <w:rPr>
          <w:rFonts w:ascii="Times New Roman" w:hAnsi="Times New Roman"/>
          <w:sz w:val="23"/>
          <w:szCs w:val="23"/>
        </w:rPr>
        <w:t>рублей. Мероприятия Программы будут осуществляться за счет средств бюджета муниципального образования  сельского поселения «Зеленец» при ежегодном утверждении объемов финансирования при разработке бюджета поселения на очередной календарный год</w:t>
      </w:r>
      <w:proofErr w:type="gramStart"/>
      <w:r w:rsidRPr="00C23F7A">
        <w:rPr>
          <w:rFonts w:ascii="Times New Roman" w:hAnsi="Times New Roman"/>
          <w:sz w:val="23"/>
          <w:szCs w:val="23"/>
        </w:rPr>
        <w:t>.</w:t>
      </w:r>
      <w:r w:rsidRPr="00C23F7A">
        <w:rPr>
          <w:rFonts w:ascii="Times New Roman" w:hAnsi="Times New Roman"/>
          <w:sz w:val="23"/>
          <w:szCs w:val="23"/>
        </w:rPr>
        <w:t>»</w:t>
      </w:r>
      <w:proofErr w:type="gramEnd"/>
    </w:p>
    <w:p w14:paraId="4E65F8F1" w14:textId="77777777" w:rsidR="00C23F7A" w:rsidRDefault="00C23F7A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23BCB116" w14:textId="77777777" w:rsidR="005B53BB" w:rsidRPr="00C23F7A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23F7A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C23F7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C23F7A">
        <w:rPr>
          <w:rFonts w:ascii="Times New Roman" w:hAnsi="Times New Roman"/>
          <w:sz w:val="23"/>
          <w:szCs w:val="23"/>
        </w:rPr>
        <w:t xml:space="preserve"> исполнением постановления возложить на Профир С.К., специалиста администрации.</w:t>
      </w:r>
    </w:p>
    <w:p w14:paraId="390C04FA" w14:textId="77777777" w:rsidR="00C23F7A" w:rsidRDefault="00C23F7A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0FA96F5" w14:textId="77777777" w:rsidR="005B53BB" w:rsidRPr="00C23F7A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23F7A">
        <w:rPr>
          <w:rFonts w:ascii="Times New Roman" w:hAnsi="Times New Roman"/>
          <w:sz w:val="23"/>
          <w:szCs w:val="23"/>
        </w:rPr>
        <w:t>3. Постановление вступает в силу со дня принятия.</w:t>
      </w:r>
    </w:p>
    <w:p w14:paraId="687E168F" w14:textId="77777777" w:rsidR="005B53BB" w:rsidRPr="00C23F7A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83458D2" w14:textId="77777777" w:rsidR="005B53BB" w:rsidRPr="00C23F7A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B404735" w14:textId="77777777" w:rsidR="005B53BB" w:rsidRPr="00C23F7A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B53BB" w:rsidRPr="00C23F7A" w14:paraId="3CEB3E56" w14:textId="77777777" w:rsidTr="005B53BB">
        <w:tc>
          <w:tcPr>
            <w:tcW w:w="4785" w:type="dxa"/>
          </w:tcPr>
          <w:p w14:paraId="0BF88AB5" w14:textId="77777777" w:rsidR="005B53BB" w:rsidRPr="00C23F7A" w:rsidRDefault="005B53BB" w:rsidP="00DE71B7">
            <w:pPr>
              <w:jc w:val="both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Глава сельского поселения «Зеленец»</w:t>
            </w:r>
          </w:p>
        </w:tc>
        <w:tc>
          <w:tcPr>
            <w:tcW w:w="4962" w:type="dxa"/>
          </w:tcPr>
          <w:p w14:paraId="58EDFC0C" w14:textId="77777777" w:rsidR="005B53BB" w:rsidRPr="00C23F7A" w:rsidRDefault="005B53BB" w:rsidP="00DE71B7">
            <w:pPr>
              <w:jc w:val="right"/>
              <w:rPr>
                <w:sz w:val="23"/>
                <w:szCs w:val="23"/>
              </w:rPr>
            </w:pPr>
            <w:r w:rsidRPr="00C23F7A">
              <w:rPr>
                <w:sz w:val="23"/>
                <w:szCs w:val="23"/>
              </w:rPr>
              <w:t>А.С. Якунин</w:t>
            </w:r>
          </w:p>
        </w:tc>
      </w:tr>
    </w:tbl>
    <w:p w14:paraId="36620053" w14:textId="77777777" w:rsidR="004E4603" w:rsidRDefault="004E4603" w:rsidP="00C23F7A">
      <w:pPr>
        <w:tabs>
          <w:tab w:val="left" w:pos="1859"/>
        </w:tabs>
        <w:spacing w:after="0" w:line="240" w:lineRule="auto"/>
        <w:jc w:val="center"/>
      </w:pPr>
      <w:bookmarkStart w:id="0" w:name="_GoBack"/>
      <w:bookmarkEnd w:id="0"/>
    </w:p>
    <w:sectPr w:rsidR="004E4603" w:rsidSect="00921E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E"/>
    <w:rsid w:val="000D3E34"/>
    <w:rsid w:val="003645DB"/>
    <w:rsid w:val="004670D8"/>
    <w:rsid w:val="004E4603"/>
    <w:rsid w:val="004F2874"/>
    <w:rsid w:val="00570624"/>
    <w:rsid w:val="005B53BB"/>
    <w:rsid w:val="006305D3"/>
    <w:rsid w:val="007E0AFC"/>
    <w:rsid w:val="00921ED5"/>
    <w:rsid w:val="00927066"/>
    <w:rsid w:val="00933016"/>
    <w:rsid w:val="00973266"/>
    <w:rsid w:val="00A91235"/>
    <w:rsid w:val="00B10A66"/>
    <w:rsid w:val="00C23F7A"/>
    <w:rsid w:val="00C2489D"/>
    <w:rsid w:val="00DA3FFD"/>
    <w:rsid w:val="00DB76FE"/>
    <w:rsid w:val="00EC28A3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11</cp:revision>
  <cp:lastPrinted>2024-02-05T06:47:00Z</cp:lastPrinted>
  <dcterms:created xsi:type="dcterms:W3CDTF">2023-07-12T09:15:00Z</dcterms:created>
  <dcterms:modified xsi:type="dcterms:W3CDTF">2024-02-05T06:48:00Z</dcterms:modified>
</cp:coreProperties>
</file>